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ADH — Parcours naturel, musical et adapté à l’accordage</w:t>
      </w:r>
    </w:p>
    <w:p>
      <w:r/>
      <w:r>
        <w:rPr>
          <w:b/>
        </w:rPr>
        <w:t>Proposition du 16 octobre 2026. Conception uniquement ; application inchangée.</w:t>
      </w:r>
      <w:r/>
    </w:p>
    <w:p>
      <w:r>
        <w:t>Cette proposition remplace le découpage précédent en 24 micro-leçons. Elle conserve du dossier des phases 1 et 2 la distinction des compétences, les deux sens de rappel, les aides progressives, la confirmation différée et la séparation téléphone/guitare. Elle remplace la progression corde par corde et l’adaptation sept cordes reportée en fin de conception : l’instrument réel détermine désormais le chemin dès le départ.</w:t>
      </w:r>
    </w:p>
    <w:p>
      <w:pPr>
        <w:pStyle w:val="Heading1"/>
      </w:pPr>
      <w:r>
        <w:t>1. La règle de construction</w:t>
      </w:r>
    </w:p>
    <w:p>
      <w:r>
        <w:t>Le parcours ne possède pas un nombre de leçons fixé à l’avance. Une activité est créée lorsqu’elle apporte un repère, une relation, une nouvelle localisation ou une vérification nécessaire. Sa longueur dépend des acquis et de la configuration, sans ajouter une fiche pour chaque case.</w:t>
      </w:r>
    </w:p>
    <w:p>
      <w:r>
        <w:t>Le chemin suit quatre mouvements : connaître ses cordes à vide ; construire sa carte grave avec des intervalles ; rejoindre les aigus puis les cordes centrales ; relier toutes les occurrences des notes naturelles. Les altérations viennent après. Ce sont les conséquences de la méthode, pas un quota de quatre chapitres contenant chacun un nombre imposé d’exercices.</w:t>
      </w:r>
    </w:p>
    <w:p>
      <w:r>
        <w:t>L’objectif reste de nommer et retrouver volontairement les notes de la position 0–4. Les intervalles donnent une raison musicale de rencontrer ces notes. Ils ne transforment pas le parcours en examen préalable de théorie ou d’oreille.</w:t>
      </w:r>
    </w:p>
    <w:p>
      <w:pPr>
        <w:pStyle w:val="Heading2"/>
      </w:pPr>
      <w:r>
        <w:t>Trois notions à distinguer</w:t>
      </w:r>
    </w:p>
    <w:p>
      <w:pPr>
        <w:pStyle w:val="ListBullet"/>
      </w:pPr>
      <w:r/>
      <w:r>
        <w:rPr>
          <w:b/>
        </w:rPr>
        <w:t>Nom</w:t>
      </w:r>
      <w:r>
        <w:t xml:space="preserve"> : E, ou Mi, désigne une classe de notes.</w:t>
      </w:r>
    </w:p>
    <w:p>
      <w:pPr>
        <w:pStyle w:val="ListBullet"/>
      </w:pPr>
      <w:r/>
      <w:r>
        <w:rPr>
          <w:b/>
        </w:rPr>
        <w:t>Hauteur</w:t>
      </w:r>
      <w:r>
        <w:t xml:space="preserve"> : E2 et E4 portent le même nom, mais pas le même registre sonore.</w:t>
      </w:r>
    </w:p>
    <w:p>
      <w:pPr>
        <w:pStyle w:val="ListBullet"/>
      </w:pPr>
      <w:r/>
      <w:r>
        <w:rPr>
          <w:b/>
        </w:rPr>
        <w:t>Emplacement</w:t>
      </w:r>
      <w:r>
        <w:t xml:space="preserve"> : une corde et une case. Deux emplacements peuvent produire exactement la même hauteur.</w:t>
      </w:r>
    </w:p>
    <w:p>
      <w:r>
        <w:t>Le moteur conserve ces trois informations. La consigne dit ce qui compte : « un E », « E grave », « E sur cette corde » ou « tous les E de la zone ». Les réponses admissibles changent en conséquence.</w:t>
      </w:r>
    </w:p>
    <w:p>
      <w:pPr>
        <w:pStyle w:val="Heading2"/>
      </w:pPr>
      <w:r>
        <w:t>Ce que signifie « diatonique » ici</w:t>
      </w:r>
    </w:p>
    <w:p>
      <w:r>
        <w:t>L’utilisateur demande d’abord C, D, E, F, G, A, B, sans altération. Cet ensemble forme une collection diatonique. Le prendre avec E comme centre donne E–F–G–A–B–C–D : le mode phrygien, pas le Mi mineur naturel, qui contient F♯. Avec B comme centre, la même collection donne B–C–D–E–F–G–A : le mode locrien.</w:t>
      </w:r>
    </w:p>
    <w:p>
      <w:r>
        <w:t>Ces noms de modes servent à concevoir correctement les exercices ; l’élève n’a pas à les mémoriser avant de jouer. En revanche, le parcours ne doit jamais appeler E–F–G–A–B–C–D « Mi mineur naturel », ni qualifier B–F de quinte juste.</w:t>
      </w:r>
    </w:p>
    <w:p>
      <w:r>
        <w:t xml:space="preserve">La note de la corde à vide réellement la plus grave sert de </w:t>
      </w:r>
      <w:r>
        <w:rPr>
          <w:b/>
        </w:rPr>
        <w:t>centre tonal pédagogique</w:t>
      </w:r>
      <w:r>
        <w:t>. Un accordage ne possède pas une tonalité obligatoire : ce centre est le choix explicite de notre exercice. Il est déterminé par la hauteur réelle, pas automatiquement par le numéro de corde.</w:t>
      </w:r>
    </w:p>
    <w:p>
      <w:pPr>
        <w:pStyle w:val="Heading1"/>
      </w:pPr>
      <w:r>
        <w:t>2. La roue de réponses</w:t>
      </w:r>
    </w:p>
    <w:p>
      <w:r>
        <w:t>La roue principale contient sept choix : C, D, E, F, G, A, B, ou Do, Ré, Mi, Fa, Sol, La, Si selon le paramètre de notation. Son ordre reste stable ; elle ne change pas de place à chaque question et ne se réduit pas aux quelques notes déjà rencontrées.</w:t>
      </w:r>
    </w:p>
    <w:p>
      <w:r>
        <w:t xml:space="preserve">La réponse attendue reste le </w:t>
      </w:r>
      <w:r>
        <w:rPr>
          <w:b/>
        </w:rPr>
        <w:t>nom de note</w:t>
      </w:r>
      <w:r>
        <w:t>. Les degrés ou noms d’intervalles peuvent accompagner la découverte, puis disparaître. Ils ne remplacent pas B par « 5 » ou F par « 2 » sur la roue : le but est de connaître le nom des notes.</w:t>
      </w:r>
    </w:p>
    <w:p>
      <w:r>
        <w:t>Dès le début, alterner deux tâches : un emplacement est montré et l’utilisateur le nomme ; un nom est donné et il touche un emplacement admissible. La roue sert à la première, le manche à la seconde. Une seule occurrence suffit sauf consigne explicite demandant une famille complète.</w:t>
      </w:r>
    </w:p>
    <w:p>
      <w:r>
        <w:t>Les altérations à vide d’un accordage particulier demandent le traitement de compatibilité expliqué plus bas ; elles ne justifient pas de remettre silencieusement une roue chromatique de douze choix pour tous les profils.</w:t>
      </w:r>
    </w:p>
    <w:p>
      <w:pPr>
        <w:pStyle w:val="Heading1"/>
      </w:pPr>
      <w:r>
        <w:t>3. Premier mouvement : connaître toutes les cordes à vide</w:t>
      </w:r>
    </w:p>
    <w:p>
      <w:pPr>
        <w:pStyle w:val="Heading2"/>
      </w:pPr>
      <w:r>
        <w:t>Ce que l’élève fait</w:t>
      </w:r>
    </w:p>
    <w:p>
      <w:r>
        <w:t>Sur la guitare standard, il découvre E–A–D–G–B–E, du grave vers l’aigu, puis répond sur l’ensemble des six cordes. Le nom et un son accompagnent le premier contact. Les légendes s’effacent ensuite.</w:t>
      </w:r>
    </w:p>
    <w:p>
      <w:r>
        <w:t>Exemples de demandes : « Comment s’appelle cette corde ? », « Retrouvez A à vide », « Jouez ces départs : E grave–A–D–A ». Les cordes peuvent être ajoutées dans la même activité en petits groupes si nécessaire ; il n’y a pas six séries successives de vingt questions isolées.</w:t>
      </w:r>
    </w:p>
    <w:p>
      <w:r>
        <w:t>Lorsque deux cordes portent E, « trouvez un E » accepte les deux. « Le E le plus grave » ou une corde explicitement indiquée impose la réponse correspondante. On ne pénalise pas un emplacement valable parce qu’un autre avait été tiré au sort.</w:t>
      </w:r>
    </w:p>
    <w:p>
      <w:pPr>
        <w:pStyle w:val="Heading2"/>
      </w:pPr>
      <w:r>
        <w:t>Pourquoi commencer ainsi</w:t>
      </w:r>
    </w:p>
    <w:p>
      <w:r>
        <w:t>Les notes à vide sont des points d’ancrage sans effort de localisation de case. Elles donnent immédiatement une identité aux cordes et permettent des motifs entre plusieurs lignes. Sur six cordes standard, cinq noms sur les sept sont déjà rencontrés : E, A, D, G, B. F et C seront les seuls noms entièrement nouveaux dans la première carte grave ; les autres seront de nouvelles localisations de noms connus.</w:t>
      </w:r>
    </w:p>
    <w:p>
      <w:pPr>
        <w:pStyle w:val="Heading2"/>
      </w:pPr>
      <w:r>
        <w:t>Le passage à la suite</w:t>
      </w:r>
    </w:p>
    <w:p>
      <w:r>
        <w:t>Il faut pouvoir nommer chaque corde et la retrouver depuis son nom, sans légende de réponse, dans une présentation mélangée. Un utilisateur connaissant son accordage peut faire cette vérification directement.</w:t>
      </w:r>
    </w:p>
    <w:p>
      <w:r>
        <w:t>La double présence de E est reconnue dès cette activité. La comparaison complète des cases des deux cordes de Mi sera faite une seule fois au moment où l’on s’en sert pour rejoindre les aigus. On ne construit pas un deuxième cours redondant sur la même équivalence.</w:t>
      </w:r>
    </w:p>
    <w:p>
      <w:pPr>
        <w:pStyle w:val="Heading1"/>
      </w:pPr>
      <w:r>
        <w:t>4. Deuxième mouvement : construire la carte grave par intervalles</w:t>
      </w:r>
    </w:p>
    <w:p>
      <w:r>
        <w:t>La corde la plus grave fournit le point d’appui. L’ordre souhaité est conservé : quinte, quarte, tierce, seconde, octave, septième, sixte. Le nom exact de chaque intervalle dépend des notes réellement disponibles.</w:t>
      </w:r>
    </w:p>
    <w:p>
      <w:r>
        <w:t>Sur EADGBE, le centre est E2. La première octave naturelle se trouve entièrement dans la zone 0–4, sur les cordes 6, 5 et 4.</w:t>
      </w:r>
    </w:p>
    <w:tbl>
      <w:tblPr>
        <w:tblStyle w:val="LightShading-Accent1"/>
        <w:tblW w:type="auto" w:w="0"/>
        <w:tblLook w:firstColumn="1" w:firstRow="1" w:lastColumn="0" w:lastRow="0" w:noHBand="0" w:noVBand="1" w:val="04A0"/>
      </w:tblPr>
      <w:tblGrid>
        <w:gridCol w:w="2466"/>
        <w:gridCol w:w="2466"/>
        <w:gridCol w:w="2466"/>
        <w:gridCol w:w="2466"/>
      </w:tblGrid>
      <w:tr>
        <w:tc>
          <w:tcPr>
            <w:tcW w:type="dxa" w:w="2466"/>
          </w:tcPr>
          <w:p>
            <w:r>
              <w:t>Rencontre</w:t>
            </w:r>
          </w:p>
        </w:tc>
        <w:tc>
          <w:tcPr>
            <w:tcW w:type="dxa" w:w="2466"/>
          </w:tcPr>
          <w:p>
            <w:r>
              <w:t>Note à retrouver</w:t>
            </w:r>
          </w:p>
        </w:tc>
        <w:tc>
          <w:tcPr>
            <w:tcW w:type="dxa" w:w="2466"/>
          </w:tcPr>
          <w:p>
            <w:r>
              <w:t>Emplacement</w:t>
            </w:r>
          </w:p>
        </w:tc>
        <w:tc>
          <w:tcPr>
            <w:tcW w:type="dxa" w:w="2466"/>
          </w:tcPr>
          <w:p>
            <w:r>
              <w:t>Relation à E2</w:t>
            </w:r>
          </w:p>
        </w:tc>
      </w:tr>
      <w:tr>
        <w:tc>
          <w:tcPr>
            <w:tcW w:type="dxa" w:w="2466"/>
          </w:tcPr>
          <w:p>
            <w:r>
              <w:t>Point d’appui</w:t>
            </w:r>
          </w:p>
        </w:tc>
        <w:tc>
          <w:tcPr>
            <w:tcW w:type="dxa" w:w="2466"/>
          </w:tcPr>
          <w:p>
            <w:r>
              <w:t>E2</w:t>
            </w:r>
          </w:p>
        </w:tc>
        <w:tc>
          <w:tcPr>
            <w:tcW w:type="dxa" w:w="2466"/>
          </w:tcPr>
          <w:p>
            <w:r>
              <w:t>Corde 6 à vide</w:t>
            </w:r>
          </w:p>
        </w:tc>
        <w:tc>
          <w:tcPr>
            <w:tcW w:type="dxa" w:w="2466"/>
          </w:tcPr>
          <w:p>
            <w:r>
              <w:t>Centre de départ</w:t>
            </w:r>
          </w:p>
        </w:tc>
      </w:tr>
      <w:tr>
        <w:tc>
          <w:tcPr>
            <w:tcW w:type="dxa" w:w="2466"/>
          </w:tcPr>
          <w:p>
            <w:r>
              <w:t>Quinte</w:t>
            </w:r>
          </w:p>
        </w:tc>
        <w:tc>
          <w:tcPr>
            <w:tcW w:type="dxa" w:w="2466"/>
          </w:tcPr>
          <w:p>
            <w:r>
              <w:t>B2</w:t>
            </w:r>
          </w:p>
        </w:tc>
        <w:tc>
          <w:tcPr>
            <w:tcW w:type="dxa" w:w="2466"/>
          </w:tcPr>
          <w:p>
            <w:r>
              <w:t>Corde 5, case 2</w:t>
            </w:r>
          </w:p>
        </w:tc>
        <w:tc>
          <w:tcPr>
            <w:tcW w:type="dxa" w:w="2466"/>
          </w:tcPr>
          <w:p>
            <w:r>
              <w:t>Quinte juste, 7 demi-tons</w:t>
            </w:r>
          </w:p>
        </w:tc>
      </w:tr>
      <w:tr>
        <w:tc>
          <w:tcPr>
            <w:tcW w:type="dxa" w:w="2466"/>
          </w:tcPr>
          <w:p>
            <w:r>
              <w:t>Quarte</w:t>
            </w:r>
          </w:p>
        </w:tc>
        <w:tc>
          <w:tcPr>
            <w:tcW w:type="dxa" w:w="2466"/>
          </w:tcPr>
          <w:p>
            <w:r>
              <w:t>A2</w:t>
            </w:r>
          </w:p>
        </w:tc>
        <w:tc>
          <w:tcPr>
            <w:tcW w:type="dxa" w:w="2466"/>
          </w:tcPr>
          <w:p>
            <w:r>
              <w:t>Corde 5 à vide</w:t>
            </w:r>
          </w:p>
        </w:tc>
        <w:tc>
          <w:tcPr>
            <w:tcW w:type="dxa" w:w="2466"/>
          </w:tcPr>
          <w:p>
            <w:r>
              <w:t>Quarte juste, 5 demi-tons</w:t>
            </w:r>
          </w:p>
        </w:tc>
      </w:tr>
      <w:tr>
        <w:tc>
          <w:tcPr>
            <w:tcW w:type="dxa" w:w="2466"/>
          </w:tcPr>
          <w:p>
            <w:r>
              <w:t>Tierce</w:t>
            </w:r>
          </w:p>
        </w:tc>
        <w:tc>
          <w:tcPr>
            <w:tcW w:type="dxa" w:w="2466"/>
          </w:tcPr>
          <w:p>
            <w:r>
              <w:t>G2</w:t>
            </w:r>
          </w:p>
        </w:tc>
        <w:tc>
          <w:tcPr>
            <w:tcW w:type="dxa" w:w="2466"/>
          </w:tcPr>
          <w:p>
            <w:r>
              <w:t>Corde 6, case 3</w:t>
            </w:r>
          </w:p>
        </w:tc>
        <w:tc>
          <w:tcPr>
            <w:tcW w:type="dxa" w:w="2466"/>
          </w:tcPr>
          <w:p>
            <w:r>
              <w:t>Tierce mineure, 3 demi-tons</w:t>
            </w:r>
          </w:p>
        </w:tc>
      </w:tr>
      <w:tr>
        <w:tc>
          <w:tcPr>
            <w:tcW w:type="dxa" w:w="2466"/>
          </w:tcPr>
          <w:p>
            <w:r>
              <w:t>Seconde</w:t>
            </w:r>
          </w:p>
        </w:tc>
        <w:tc>
          <w:tcPr>
            <w:tcW w:type="dxa" w:w="2466"/>
          </w:tcPr>
          <w:p>
            <w:r>
              <w:t>F2</w:t>
            </w:r>
          </w:p>
        </w:tc>
        <w:tc>
          <w:tcPr>
            <w:tcW w:type="dxa" w:w="2466"/>
          </w:tcPr>
          <w:p>
            <w:r>
              <w:t>Corde 6, case 1</w:t>
            </w:r>
          </w:p>
        </w:tc>
        <w:tc>
          <w:tcPr>
            <w:tcW w:type="dxa" w:w="2466"/>
          </w:tcPr>
          <w:p>
            <w:r>
              <w:t>Seconde mineure, 1 demi-ton</w:t>
            </w:r>
          </w:p>
        </w:tc>
      </w:tr>
      <w:tr>
        <w:tc>
          <w:tcPr>
            <w:tcW w:type="dxa" w:w="2466"/>
          </w:tcPr>
          <w:p>
            <w:r>
              <w:t>Octave</w:t>
            </w:r>
          </w:p>
        </w:tc>
        <w:tc>
          <w:tcPr>
            <w:tcW w:type="dxa" w:w="2466"/>
          </w:tcPr>
          <w:p>
            <w:r>
              <w:t>E3</w:t>
            </w:r>
          </w:p>
        </w:tc>
        <w:tc>
          <w:tcPr>
            <w:tcW w:type="dxa" w:w="2466"/>
          </w:tcPr>
          <w:p>
            <w:r>
              <w:t>Corde 4, case 2</w:t>
            </w:r>
          </w:p>
        </w:tc>
        <w:tc>
          <w:tcPr>
            <w:tcW w:type="dxa" w:w="2466"/>
          </w:tcPr>
          <w:p>
            <w:r>
              <w:t>Octave, 12 demi-tons</w:t>
            </w:r>
          </w:p>
        </w:tc>
      </w:tr>
      <w:tr>
        <w:tc>
          <w:tcPr>
            <w:tcW w:type="dxa" w:w="2466"/>
          </w:tcPr>
          <w:p>
            <w:r>
              <w:t>Septième</w:t>
            </w:r>
          </w:p>
        </w:tc>
        <w:tc>
          <w:tcPr>
            <w:tcW w:type="dxa" w:w="2466"/>
          </w:tcPr>
          <w:p>
            <w:r>
              <w:t>D3</w:t>
            </w:r>
          </w:p>
        </w:tc>
        <w:tc>
          <w:tcPr>
            <w:tcW w:type="dxa" w:w="2466"/>
          </w:tcPr>
          <w:p>
            <w:r>
              <w:t>Corde 4 à vide</w:t>
            </w:r>
          </w:p>
        </w:tc>
        <w:tc>
          <w:tcPr>
            <w:tcW w:type="dxa" w:w="2466"/>
          </w:tcPr>
          <w:p>
            <w:r>
              <w:t>Septième mineure, 10 demi-tons</w:t>
            </w:r>
          </w:p>
        </w:tc>
      </w:tr>
      <w:tr>
        <w:tc>
          <w:tcPr>
            <w:tcW w:type="dxa" w:w="2466"/>
          </w:tcPr>
          <w:p>
            <w:r>
              <w:t>Sixte</w:t>
            </w:r>
          </w:p>
        </w:tc>
        <w:tc>
          <w:tcPr>
            <w:tcW w:type="dxa" w:w="2466"/>
          </w:tcPr>
          <w:p>
            <w:r>
              <w:t>C3</w:t>
            </w:r>
          </w:p>
        </w:tc>
        <w:tc>
          <w:tcPr>
            <w:tcW w:type="dxa" w:w="2466"/>
          </w:tcPr>
          <w:p>
            <w:r>
              <w:t>Corde 5, case 3</w:t>
            </w:r>
          </w:p>
        </w:tc>
        <w:tc>
          <w:tcPr>
            <w:tcW w:type="dxa" w:w="2466"/>
          </w:tcPr>
          <w:p>
            <w:r>
              <w:t>Sixte mineure, 8 demi-tons</w:t>
            </w:r>
          </w:p>
        </w:tc>
      </w:tr>
    </w:tbl>
    <w:p/>
    <w:p>
      <w:r>
        <w:t>L’ordre des rencontres est une progression d’usage ; il ne doit pas être confondu avec l’ordre ascendant d’une gamme.</w:t>
      </w:r>
    </w:p>
    <w:p>
      <w:pPr>
        <w:pStyle w:val="Heading2"/>
      </w:pPr>
      <w:r>
        <w:t>Des notes dans des motifs dès les premiers essais</w:t>
      </w:r>
    </w:p>
    <w:p>
      <w:r>
        <w:t>Les formes d’activité alternent, sans imposer une fiche par ligne du tableau :</w:t>
      </w:r>
    </w:p>
    <w:p>
      <w:pPr>
        <w:pStyle w:val="ListBullet"/>
      </w:pPr>
      <w:r>
        <w:t>À partir de la quinte : E2–B2–E2, puis retrouver B sans flèche depuis E.</w:t>
      </w:r>
    </w:p>
    <w:p>
      <w:pPr>
        <w:pStyle w:val="ListBullet"/>
      </w:pPr>
      <w:r>
        <w:t>Après la quarte : E2–B2–A2–E2, en choisissant les cordes demandées.</w:t>
      </w:r>
    </w:p>
    <w:p>
      <w:pPr>
        <w:pStyle w:val="ListBullet"/>
      </w:pPr>
      <w:r>
        <w:t>Après la tierce : E2–G2–B2–G2–E2, ce qui fait entendre les notes de l’accord de Mi mineur sans exiger son doigté.</w:t>
      </w:r>
    </w:p>
    <w:p>
      <w:pPr>
        <w:pStyle w:val="ListBullet"/>
      </w:pPr>
      <w:r>
        <w:t>Après la seconde : E2–F2–E2–B2 ; entendre la proximité de F et E avant de chercher à jouer vite.</w:t>
      </w:r>
    </w:p>
    <w:p>
      <w:pPr>
        <w:pStyle w:val="ListBullet"/>
      </w:pPr>
      <w:r>
        <w:t>Après les dernières rencontres : mélanger C3 et D3 aux repères acquis, puis nommer les notes dans un ordre différent de celui du modèle.</w:t>
      </w:r>
    </w:p>
    <w:p>
      <w:r>
        <w:t>Chaque démonstration associe note, emplacement et son. Quelques essais exploitent la relation ; les suivants retirent la flèche et la note de départ pour vérifier le rappel du nom et de la position. L’élève ne doit pas devenir dépendant du calcul permanent depuis E.</w:t>
      </w:r>
    </w:p>
    <w:p>
      <w:r>
        <w:t xml:space="preserve">La tierce G2 et la seconde F2 sont sur la corde grave dans cette zone. Nous ne les déplaçons pas artificiellement dans un autre registre pour prétendre que chaque paire d’intervalle traverse deux cordes. </w:t>
      </w:r>
      <w:r>
        <w:rPr>
          <w:b/>
        </w:rPr>
        <w:t>C’est l’exercice musical dans son ensemble qui est multicorde</w:t>
      </w:r>
      <w:r>
        <w:t>, en alternant ces notes avec B2 ou A2 ; aucun bloc monotone exclusivement sur une corde n’est nécessaire.</w:t>
      </w:r>
    </w:p>
    <w:p>
      <w:pPr>
        <w:pStyle w:val="Heading2"/>
      </w:pPr>
      <w:r>
        <w:t>Justification de l’ordre</w:t>
      </w:r>
    </w:p>
    <w:p>
      <w:r>
        <w:t>La quinte et la quarte relient immédiatement les cordes graves et reprennent un départ déjà appris. La tierce donne une couleur d’accord ; la seconde fait rencontrer le demi-ton concret. L’octave introduit la répétition d’un nom à une autre hauteur. Septième et sixte complètent ensuite la palette naturelle.</w:t>
      </w:r>
    </w:p>
    <w:p>
      <w:r>
        <w:t>C’est une hypothèse de conception cohérente avec l’usage musical recherché et la géométrie de cette configuration. Il n’existe pas ici de preuve expérimentale que 5–4–3–2–8–7–6 soit un ordre universellement optimal. Les essais devront notamment vérifier l’intérêt de placer la tierce avant la seconde pour les élèves visés.</w:t>
      </w:r>
    </w:p>
    <w:p>
      <w:pPr>
        <w:pStyle w:val="Heading2"/>
      </w:pPr>
      <w:r>
        <w:t>Résultat sur six cordes standard</w:t>
      </w:r>
    </w:p>
    <w:p>
      <w:r>
        <w:t>La carte grave contient huit emplacements pour sept noms :</w:t>
      </w:r>
    </w:p>
    <w:p>
      <w:pPr>
        <w:pStyle w:val="ListBullet"/>
      </w:pPr>
      <w:r>
        <w:t>Mi grave : E2, F2, G2, aux cases 0, 1, 3.</w:t>
      </w:r>
    </w:p>
    <w:p>
      <w:pPr>
        <w:pStyle w:val="ListBullet"/>
      </w:pPr>
      <w:r>
        <w:t>La : A2, B2, C3, aux cases 0, 2, 3.</w:t>
      </w:r>
    </w:p>
    <w:p>
      <w:pPr>
        <w:pStyle w:val="ListBullet"/>
      </w:pPr>
      <w:r>
        <w:t>Ré : D3 et E3, aux cases 0 et 2.</w:t>
      </w:r>
    </w:p>
    <w:p>
      <w:r>
        <w:t>L’octave E3 termine le territoire de référence en hauteur ; les rencontres ne sont pas obligées d’être faites dans l’ordre des hauteurs. La prochaine activité commence lorsque ces localisations sont suffisamment disponibles pour servir d’ancrages, sans devoir attendre leur consolidation différée définitive.</w:t>
      </w:r>
    </w:p>
    <w:p>
      <w:pPr>
        <w:pStyle w:val="Heading1"/>
      </w:pPr>
      <w:r>
        <w:t>5. Troisième mouvement : partir de l’aigu et rejoindre les cordes centrales</w:t>
      </w:r>
    </w:p>
    <w:p>
      <w:r>
        <w:t xml:space="preserve">« Jusqu’au milieu du manche » est ici compris comme rejoindre les </w:t>
      </w:r>
      <w:r>
        <w:rPr>
          <w:b/>
        </w:rPr>
        <w:t>cordes centrales</w:t>
      </w:r>
      <w:r>
        <w:t xml:space="preserve"> en restant dans les mêmes cases 0–4, et non aller vers la case 12.</w:t>
      </w:r>
    </w:p>
    <w:p>
      <w:pPr>
        <w:pStyle w:val="Heading2"/>
      </w:pPr>
      <w:r>
        <w:t>Utiliser une seule fois l’équivalence des deux Mi</w:t>
      </w:r>
    </w:p>
    <w:p>
      <w:r>
        <w:t xml:space="preserve">On compare la corde 6 et la corde 1 : mêmes noms aux mêmes cases, E en 0, F en 1, G en 3. Les hauteurs sont séparées de deux octaves. Dire « cordes identiques » signifie donc </w:t>
      </w:r>
      <w:r>
        <w:rPr>
          <w:b/>
        </w:rPr>
        <w:t>même carte de noms</w:t>
      </w:r>
      <w:r>
        <w:t>, pas même son exact.</w:t>
      </w:r>
    </w:p>
    <w:p>
      <w:r>
        <w:t>Une activité compacte de transfert suffit : partir d’un repère connu et retrouver son correspondant sur l’autre corde, puis inverser la demande. Une ou deux vérifications locales pourront revenir ensuite selon les erreurs ; on ne rejoue pas tout le chapitre grave sous un nouveau titre.</w:t>
      </w:r>
    </w:p>
    <w:p>
      <w:pPr>
        <w:pStyle w:val="Heading2"/>
      </w:pPr>
      <w:r>
        <w:t>Continuer sur les voisines, depuis cette nouvelle référence</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t>Zone atteinte</w:t>
            </w:r>
          </w:p>
        </w:tc>
        <w:tc>
          <w:tcPr>
            <w:tcW w:type="dxa" w:w="3289"/>
          </w:tcPr>
          <w:p>
            <w:r>
              <w:t>Emplacements naturels concernés</w:t>
            </w:r>
          </w:p>
        </w:tc>
        <w:tc>
          <w:tcPr>
            <w:tcW w:type="dxa" w:w="3289"/>
          </w:tcPr>
          <w:p>
            <w:r>
              <w:t>Ce qui change réellement</w:t>
            </w:r>
          </w:p>
        </w:tc>
      </w:tr>
      <w:tr>
        <w:tc>
          <w:tcPr>
            <w:tcW w:type="dxa" w:w="3289"/>
          </w:tcPr>
          <w:p>
            <w:r>
              <w:t>Mi aigu</w:t>
            </w:r>
          </w:p>
        </w:tc>
        <w:tc>
          <w:tcPr>
            <w:tcW w:type="dxa" w:w="3289"/>
          </w:tcPr>
          <w:p>
            <w:r>
              <w:t>E4 en 0, F4 en 1, G4 en 3</w:t>
            </w:r>
          </w:p>
        </w:tc>
        <w:tc>
          <w:tcPr>
            <w:tcW w:type="dxa" w:w="3289"/>
          </w:tcPr>
          <w:p>
            <w:r>
              <w:t>Transfert de la carte de Mi, pas trois nouvelles règles</w:t>
            </w:r>
          </w:p>
        </w:tc>
      </w:tr>
      <w:tr>
        <w:tc>
          <w:tcPr>
            <w:tcW w:type="dxa" w:w="3289"/>
          </w:tcPr>
          <w:p>
            <w:r>
              <w:t>Si</w:t>
            </w:r>
          </w:p>
        </w:tc>
        <w:tc>
          <w:tcPr>
            <w:tcW w:type="dxa" w:w="3289"/>
          </w:tcPr>
          <w:p>
            <w:r>
              <w:t>B3 en 0, C4 en 1, D4 en 3</w:t>
            </w:r>
          </w:p>
        </w:tc>
        <w:tc>
          <w:tcPr>
            <w:tcW w:type="dxa" w:w="3289"/>
          </w:tcPr>
          <w:p>
            <w:r>
              <w:t>C et D sous le E aigu ; B à vide déjà connu</w:t>
            </w:r>
          </w:p>
        </w:tc>
      </w:tr>
      <w:tr>
        <w:tc>
          <w:tcPr>
            <w:tcW w:type="dxa" w:w="3289"/>
          </w:tcPr>
          <w:p>
            <w:r>
              <w:t>Sol</w:t>
            </w:r>
          </w:p>
        </w:tc>
        <w:tc>
          <w:tcPr>
            <w:tcW w:type="dxa" w:w="3289"/>
          </w:tcPr>
          <w:p>
            <w:r>
              <w:t>G3 en 0, A3 en 2, B3 en 4</w:t>
            </w:r>
          </w:p>
        </w:tc>
        <w:tc>
          <w:tcPr>
            <w:tcW w:type="dxa" w:w="3289"/>
          </w:tcPr>
          <w:p>
            <w:r>
              <w:t>G à vide déjà connu ; A et B rejoignent cette ligne</w:t>
            </w:r>
          </w:p>
        </w:tc>
      </w:tr>
      <w:tr>
        <w:tc>
          <w:tcPr>
            <w:tcW w:type="dxa" w:w="3289"/>
          </w:tcPr>
          <w:p>
            <w:r>
              <w:t>Jonction sur Ré</w:t>
            </w:r>
          </w:p>
        </w:tc>
        <w:tc>
          <w:tcPr>
            <w:tcW w:type="dxa" w:w="3289"/>
          </w:tcPr>
          <w:p>
            <w:r>
              <w:t>D3 en 0, E3 en 2, F3 en 3</w:t>
            </w:r>
          </w:p>
        </w:tc>
        <w:tc>
          <w:tcPr>
            <w:tcW w:type="dxa" w:w="3289"/>
          </w:tcPr>
          <w:p>
            <w:r>
              <w:t>D et E déjà vus côté grave ; seule la localisation de F reste nouvelle</w:t>
            </w:r>
          </w:p>
        </w:tc>
      </w:tr>
    </w:tbl>
    <w:p/>
    <w:p>
      <w:r>
        <w:t>Quelques relations musicales permettent de se repérer : B3–E4 est une quarte juste ; C4–E4 une tierce majeure ; D4–E4 une seconde majeure ; A3–E4 une quinte juste. Dans un exercice descendant, le sens est annoncé : E4 vers B3 est une quarte descendante, pas une quinte ascendante.</w:t>
      </w:r>
    </w:p>
    <w:p>
      <w:r>
        <w:t>Ces relations servent de passerelles. Elles décrivent les notes et le sens du déplacement indiqués, sans changer le centre tonal E : C4–E4 est une tierce majeure entre ces deux hauteurs, mais C reste la sixte mineure de E dans la collection étudiée. Il n’est pas nécessaire de faire mémoriser toutes ces étiquettes descendantes pour apprendre les emplacements. On ne réenseigne pas mécaniquement les sept fonctions de E2 sur chaque corde. On travaille les emplacements encore inconnus et leurs liens avec les repères déjà disponibles.</w:t>
      </w:r>
    </w:p>
    <w:p>
      <w:r>
        <w:t>La corde de Si introduit une géométrie différente, calculée depuis l’accordage : l’écart Sol–Si est de quatre demi-tons, contre cinq pour les autres cordes voisines du standard. Le jeu montre le lien concret qui convient ; il n’applique pas un dessin de quinte ou d’octave identique partout.</w:t>
      </w:r>
    </w:p>
    <w:p>
      <w:pPr>
        <w:pStyle w:val="Heading2"/>
      </w:pPr>
      <w:r>
        <w:t>Couverture complète sur EADGBE</w:t>
      </w:r>
    </w:p>
    <w:p>
      <w:r>
        <w:t xml:space="preserve">À vide, six emplacements sont appris. La carte grave ajoute cinq emplacements frettés ; le transfert sur Mi aigu en ajoute deux, Si deux, Sol deux, puis la jonction sur Ré un. Total : </w:t>
      </w:r>
      <w:r>
        <w:rPr>
          <w:b/>
        </w:rPr>
        <w:t>18 emplacements naturels distincts</w:t>
      </w:r>
      <w:r>
        <w:t>, sans compter les équivalences comme une maîtrise automatique.</w:t>
      </w:r>
    </w:p>
    <w:p>
      <w:r>
        <w:t>Les cases non naturelles restent visibles mais hors des réponses demandées. Elles ne portent pas de nom anticipé et ne constituent pas des réponses-pièges pendant la découverte naturelle.</w:t>
      </w:r>
    </w:p>
    <w:p>
      <w:pPr>
        <w:pStyle w:val="Heading1"/>
      </w:pPr>
      <w:r>
        <w:t>6. Quatrième mouvement : retrouver les familles de notes, les octaves et les unissons</w:t>
      </w:r>
    </w:p>
    <w:p>
      <w:r>
        <w:t>L’octave de E2 a déjà été rencontrée comme intervalle. On passe maintenant à un autre objectif : construire un réseau sur toute la position, pour chacun des sept noms.</w:t>
      </w:r>
    </w:p>
    <w:p>
      <w:r>
        <w:t>Le parcours commence avec E, G et B, déjà très présents dans les motifs, puis reprend F, A, C et D. Cet ordre de rappel peut varier selon les difficultés observées ; les sept familles doivent toutes être couvertes avant les altérations.</w:t>
      </w:r>
    </w:p>
    <w:tbl>
      <w:tblPr>
        <w:tblStyle w:val="LightShading-Accent1"/>
        <w:tblW w:type="auto" w:w="0"/>
        <w:tblLook w:firstColumn="1" w:firstRow="1" w:lastColumn="0" w:lastRow="0" w:noHBand="0" w:noVBand="1" w:val="04A0"/>
      </w:tblPr>
      <w:tblGrid>
        <w:gridCol w:w="4933"/>
        <w:gridCol w:w="4933"/>
      </w:tblGrid>
      <w:tr>
        <w:tc>
          <w:tcPr>
            <w:tcW w:type="dxa" w:w="4933"/>
          </w:tcPr>
          <w:p>
            <w:r>
              <w:t>Famille</w:t>
            </w:r>
          </w:p>
        </w:tc>
        <w:tc>
          <w:tcPr>
            <w:tcW w:type="dxa" w:w="4933"/>
          </w:tcPr>
          <w:p>
            <w:r>
              <w:t>Tous les emplacements naturels en zone 0–4</w:t>
            </w:r>
          </w:p>
        </w:tc>
      </w:tr>
      <w:tr>
        <w:tc>
          <w:tcPr>
            <w:tcW w:type="dxa" w:w="4933"/>
          </w:tcPr>
          <w:p>
            <w:r>
              <w:t>E</w:t>
            </w:r>
          </w:p>
        </w:tc>
        <w:tc>
          <w:tcPr>
            <w:tcW w:type="dxa" w:w="4933"/>
          </w:tcPr>
          <w:p>
            <w:r>
              <w:t>Corde 6 case 0 ; corde 4 case 2 ; corde 1 case 0</w:t>
            </w:r>
          </w:p>
        </w:tc>
      </w:tr>
      <w:tr>
        <w:tc>
          <w:tcPr>
            <w:tcW w:type="dxa" w:w="4933"/>
          </w:tcPr>
          <w:p>
            <w:r>
              <w:t>F</w:t>
            </w:r>
          </w:p>
        </w:tc>
        <w:tc>
          <w:tcPr>
            <w:tcW w:type="dxa" w:w="4933"/>
          </w:tcPr>
          <w:p>
            <w:r>
              <w:t>Corde 6 case 1 ; corde 4 case 3 ; corde 1 case 1</w:t>
            </w:r>
          </w:p>
        </w:tc>
      </w:tr>
      <w:tr>
        <w:tc>
          <w:tcPr>
            <w:tcW w:type="dxa" w:w="4933"/>
          </w:tcPr>
          <w:p>
            <w:r>
              <w:t>G</w:t>
            </w:r>
          </w:p>
        </w:tc>
        <w:tc>
          <w:tcPr>
            <w:tcW w:type="dxa" w:w="4933"/>
          </w:tcPr>
          <w:p>
            <w:r>
              <w:t>Corde 6 case 3 ; corde 3 case 0 ; corde 1 case 3</w:t>
            </w:r>
          </w:p>
        </w:tc>
      </w:tr>
      <w:tr>
        <w:tc>
          <w:tcPr>
            <w:tcW w:type="dxa" w:w="4933"/>
          </w:tcPr>
          <w:p>
            <w:r>
              <w:t>A</w:t>
            </w:r>
          </w:p>
        </w:tc>
        <w:tc>
          <w:tcPr>
            <w:tcW w:type="dxa" w:w="4933"/>
          </w:tcPr>
          <w:p>
            <w:r>
              <w:t>Corde 5 case 0 ; corde 3 case 2</w:t>
            </w:r>
          </w:p>
        </w:tc>
      </w:tr>
      <w:tr>
        <w:tc>
          <w:tcPr>
            <w:tcW w:type="dxa" w:w="4933"/>
          </w:tcPr>
          <w:p>
            <w:r>
              <w:t>B</w:t>
            </w:r>
          </w:p>
        </w:tc>
        <w:tc>
          <w:tcPr>
            <w:tcW w:type="dxa" w:w="4933"/>
          </w:tcPr>
          <w:p>
            <w:r>
              <w:t>Corde 5 case 2 ; corde 3 case 4 ; corde 2 case 0</w:t>
            </w:r>
          </w:p>
        </w:tc>
      </w:tr>
      <w:tr>
        <w:tc>
          <w:tcPr>
            <w:tcW w:type="dxa" w:w="4933"/>
          </w:tcPr>
          <w:p>
            <w:r>
              <w:t>C</w:t>
            </w:r>
          </w:p>
        </w:tc>
        <w:tc>
          <w:tcPr>
            <w:tcW w:type="dxa" w:w="4933"/>
          </w:tcPr>
          <w:p>
            <w:r>
              <w:t>Corde 5 case 3 ; corde 2 case 1</w:t>
            </w:r>
          </w:p>
        </w:tc>
      </w:tr>
      <w:tr>
        <w:tc>
          <w:tcPr>
            <w:tcW w:type="dxa" w:w="4933"/>
          </w:tcPr>
          <w:p>
            <w:r>
              <w:t>D</w:t>
            </w:r>
          </w:p>
        </w:tc>
        <w:tc>
          <w:tcPr>
            <w:tcW w:type="dxa" w:w="4933"/>
          </w:tcPr>
          <w:p>
            <w:r>
              <w:t>Corde 4 case 0 ; corde 2 case 3</w:t>
            </w:r>
          </w:p>
        </w:tc>
      </w:tr>
    </w:tbl>
    <w:p/>
    <w:p>
      <w:pPr>
        <w:pStyle w:val="Heading2"/>
      </w:pPr>
      <w:r>
        <w:t>Trois contrats d’exercice distincts</w:t>
      </w:r>
    </w:p>
    <w:p>
      <w:r>
        <w:t>1. « Trouvez un E » : une seule occurrence admissible suffit.</w:t>
      </w:r>
    </w:p>
    <w:p>
      <w:r>
        <w:t>2. « Retrouvez tous les E de la zone » : les positions trouvées restent marquées ; la tâche est terminée lorsque la famille est complète, pas après un nombre arbitraire de touches.</w:t>
      </w:r>
    </w:p>
    <w:p>
      <w:r>
        <w:t>3. « Quel autre emplacement donne exactement la même hauteur ? » : filtrer sur la hauteur réelle ; ce n’est pas simplement chercher la même lettre.</w:t>
      </w:r>
    </w:p>
    <w:p>
      <w:r>
        <w:t xml:space="preserve">Les E de ce tableau se trouvent à trois hauteurs séparées d’octaves. En revanche, Sol case 4 et Si à vide produisent tous deux B3 : un </w:t>
      </w:r>
      <w:r>
        <w:rPr>
          <w:b/>
        </w:rPr>
        <w:t>unisson</w:t>
      </w:r>
      <w:r>
        <w:t>. Tous les déplacements entre notes de même nom ne sont donc pas des octaves. Cette différence est montrée par des sons et des diagrammes, puis vérifiée avec un autre ordre de présentation.</w:t>
      </w:r>
    </w:p>
    <w:p>
      <w:r>
        <w:t>La recherche de familles complète la recherche d’une position ; elle ne remplace pas la mesure des deux sens de rappel pour chaque emplacement. En cas d’erreur ou d’oubli, on reprend la localisation concernée plutôt que toute la famille depuis zéro.</w:t>
      </w:r>
    </w:p>
    <w:p>
      <w:pPr>
        <w:pStyle w:val="Heading1"/>
      </w:pPr>
      <w:r>
        <w:t>7. Adapter réellement le parcours à l’instrument</w:t>
      </w:r>
    </w:p>
    <w:p>
      <w:pPr>
        <w:pStyle w:val="Heading2"/>
      </w:pPr>
      <w:r>
        <w:t>Les données nécessaires</w:t>
      </w:r>
    </w:p>
    <w:p>
      <w:r>
        <w:t>Pour chaque corde : sa position physique et sa hauteur à vide avec octave. Le nombre de cordes, les noms seuls ou une étiquette « DADGAD » ne suffisent pas à décider de tous les registres. Les cases étudiées restent explicites.</w:t>
      </w:r>
    </w:p>
    <w:p>
      <w:r>
        <w:t>Le plan de contenu est dérivé de l’instrument, de l’accordage effectif, de la zone et de l’alphabet autorisé. La progression de l’élève choisit ensuite ce qui doit être découvert, révisé ou confirmé. Un changement de configuration peut conserver un concept déjà acquis, mais sa réalisation sur le nouveau manche est à vérifier.</w:t>
      </w:r>
    </w:p>
    <w:p>
      <w:pPr>
        <w:pStyle w:val="Heading2"/>
      </w:pPr>
      <w:r>
        <w:t>Règles de réorganisation</w:t>
      </w:r>
    </w:p>
    <w:p>
      <w:r>
        <w:t>1. Apprendre et vérifier les vraies cordes à vide, sans remplacer leur nom par une note approchante.</w:t>
      </w:r>
    </w:p>
    <w:p>
      <w:r>
        <w:t>2. Prendre la corde réellement la plus grave comme origine pédagogique ; un accordage réentrant peut placer cette corde ailleurs que sur le bord du dessin.</w:t>
      </w:r>
    </w:p>
    <w:p>
      <w:r>
        <w:t>3. Calculer toutes les positions naturelles de la zone et les hauteurs qu’elles produisent.</w:t>
      </w:r>
    </w:p>
    <w:p>
      <w:r>
        <w:t>4. Chercher les partenaires d’intervalles dans l’ordre demandé, avec leur qualité exacte et leur registre.</w:t>
      </w:r>
    </w:p>
    <w:p>
      <w:r>
        <w:t>5. Préférer une relation entre plusieurs cordes déjà repérées et une application locale ; ne pas ajouter de saut technique inutile.</w:t>
      </w:r>
    </w:p>
    <w:p>
      <w:r>
        <w:t>6. Grouper les cordes dont les hauteurs à vide diffèrent d’un nombre entier d’octaves : elles portent les mêmes noms aux mêmes cases. Une activité d’équivalence par famille suffit, avec les hauteurs explicitées.</w:t>
      </w:r>
    </w:p>
    <w:p>
      <w:r>
        <w:t>7. Développer le territoire grave disponible, puis partir du côté aigu et rejoindre les positions centrales encore inconnues. La frontière des cordes graves/aiguës n’est pas fixée à trois cordes sur tous les instruments.</w:t>
      </w:r>
    </w:p>
    <w:p>
      <w:r>
        <w:t>8. Vérifier que chaque position naturelle apparaît dans les deux sens et que chaque famille complète est couverte. Aucune note inaccessible n’est inventée pour compléter une étape.</w:t>
      </w:r>
    </w:p>
    <w:p>
      <w:r>
        <w:t>L’ordre des intervalles est une priorité de rencontre, pas la permission de sauter silencieusement une impossibilité physique. Si deux contraintes sont incompatibles, le parcours le signale et applique une variante décrite.</w:t>
      </w:r>
    </w:p>
    <w:p>
      <w:pPr>
        <w:pStyle w:val="Heading2"/>
      </w:pPr>
      <w:r>
        <w:t>Sept cordes standard : partir de B</w:t>
      </w:r>
    </w:p>
    <w:p>
      <w:r>
        <w:t>En BEADGBE, la corde grave est B1. L’ensemble naturel est B, C, D, E, F, G, A. La première octave tient dans 0–4 : B1/C2/D2 sur corde 7, E2/F2/G2 sur corde 6, A2/B2 sur corde 5.</w:t>
      </w:r>
    </w:p>
    <w:p>
      <w:r>
        <w:t xml:space="preserve">La quinte diatonique de B est F, à six demi-tons : une </w:t>
      </w:r>
      <w:r>
        <w:rPr>
          <w:b/>
        </w:rPr>
        <w:t>quinte diminuée</w:t>
      </w:r>
      <w:r>
        <w:t>. La quinte juste serait F♯, exclu de l’alphabet naturel initial. Le parcours garde le vrai nom B–F et sa qualité ; il ne montre pas F♯ en prétendant rester sans altération et ne décrit pas F comme une quinte juste. L’élève apprend ce son plus tendu, et la quinte juste sera comparée après l’introduction des altérations.</w:t>
      </w:r>
    </w:p>
    <w:p>
      <w:r>
        <w:t>Deux familles d’équivalences sont disponibles : B des cordes 7 et 2, E des cordes 6 et 1. Leur transfert est organisé au moment où il fait progresser le front d’apprentissage, sans recréer le parcours six cordes puis ajouter une annexe.</w:t>
      </w:r>
    </w:p>
    <w:p>
      <w:pPr>
        <w:pStyle w:val="Heading2"/>
      </w:pPr>
      <w:r>
        <w:t>DADGAD : exploiter les trois Ré et les deux La</w:t>
      </w:r>
    </w:p>
    <w:p>
      <w:r>
        <w:t>Avec D2 A2 D3 G3 A3 D4, le centre est D2. D/E/F se trouvent en 0/2/3 sur les trois cordes de Ré ; A/B/C en 0/2/3 sur les deux cordes de La. Ces familles justifient deux activités compactes d’équivalence, plutôt que cinq introductions indépendantes. La corde de Sol fournit sa carte propre G/A/B en 0/2/4.</w:t>
      </w:r>
    </w:p>
    <w:p>
      <w:r>
        <w:t>Mais G2 est absent de la première octave dans les cases 0–4 : il serait en case 5 de la corde grave. La contrainte « sept notes dans la première octave » ne peut donc pas être imposée à cette configuration.</w:t>
      </w:r>
    </w:p>
    <w:p>
      <w:r>
        <w:t>Variante recommandée : conserver 0–4 et introduire le G3 à vide sur la corde de Sol. Pour faire entendre une quarte simple, comparer D3 à vide à G3 à vide ; D reste le centre, pris à son octave supérieure. Le lien D2→G3 est une quarte composée, à une octave de plus, et ne doit pas être présenté comme cinq demi-tons. Cette petite branche vers la zone centrale est annoncée ; le retour par le côté aigu reste la suite principale.</w:t>
      </w:r>
    </w:p>
    <w:p>
      <w:r>
        <w:t>On préserve ainsi accordage, notes naturelles et zone, en assouplissant explicitement la limite du premier registre. Étendre discrètement jusqu’à la case 5 irait contre le périmètre actuel.</w:t>
      </w:r>
    </w:p>
    <w:p>
      <w:pPr>
        <w:pStyle w:val="Heading2"/>
      </w:pPr>
      <w:r>
        <w:t>Accordages avec des cordes à vide altérées</w:t>
      </w:r>
    </w:p>
    <w:p>
      <w:r>
        <w:t>Votre B1 F♯2 B2 E3 A3 C♯4 F♯4 contient F♯ et C♯ à vide. Les nommer correctement tout en interdisant absolument toute altération dès le premier exercice est impossible.</w:t>
      </w:r>
    </w:p>
    <w:p>
      <w:r>
        <w:t xml:space="preserve">Proposition de traitement : un </w:t>
      </w:r>
      <w:r>
        <w:rPr>
          <w:b/>
        </w:rPr>
        <w:t>préambule d’accordage</w:t>
      </w:r>
      <w:r>
        <w:t xml:space="preserve"> apprend ces seuls noms réels, avec une palette limitée aux noms de cet accordage ou une démonstration directe. Ce n’est pas un cours chromatique de douze notes. Ensuite, le parcours naturel utilise sa roue de sept notes. L’exception concerne les points de départ déjà imposés par l’instrument, pas l’introduction anticipée de toutes les cases altérées. Cette exception est une proposition à valider ; elle ne doit pas être appliquée en cachette.</w:t>
      </w:r>
    </w:p>
    <w:p>
      <w:r>
        <w:t>Sur cet accordage, E2 et F2 sont aussi absents de la première octave B1–B2 dans 0–4. Les E3 et F3 sont disponibles sur la corde de E. La même règle de branche locale et de référence de tonique à une autre octave s’applique.</w:t>
      </w:r>
    </w:p>
    <w:p>
      <w:r>
        <w:t>Si la corde réellement la plus grave est elle-même F♯, il reste une incompatibilité supplémentaire : elle ne peut pas être simultanément la tonique de la collection naturelle CDEFGAB et en faire partie. Le parcours strict doit le dire. Une variante diatonique à sept notes adaptée à cette tonique, avec certaines altérations écrites, devra être choisie explicitement avant de prétendre couvrir ce profil ; le moteur ne change ni la tonique ni l’accordage pour masquer le problème.</w:t>
      </w:r>
    </w:p>
    <w:p>
      <w:pPr>
        <w:pStyle w:val="Heading2"/>
      </w:pPr>
      <w:r>
        <w:t>Priorité recommandée en cas de conflit</w:t>
      </w:r>
    </w:p>
    <w:p>
      <w:r>
        <w:t>Toujours respecter d’abord les sons et noms réels de l’instrument. Conserver ensuite la zone 0–4 et les notes naturelles du parcours lorsque c’est possible. Assouplir explicitement le registre de la première octave si une note y manque. Les exceptions d’alphabet nécessaires aux cordes à vide, ou à une tonique altérée, doivent être annoncées et validées. La méthode reste adaptable, sans prétendre que toutes ses contraintes peuvent toujours être satisfaites ensemble.</w:t>
      </w:r>
    </w:p>
    <w:p>
      <w:pPr>
        <w:pStyle w:val="Heading1"/>
      </w:pPr>
      <w:r>
        <w:t>8. Ce qui reste du dossier des phases 1 et 2</w:t>
      </w:r>
    </w:p>
    <w:p>
      <w:pPr>
        <w:pStyle w:val="Heading2"/>
      </w:pPr>
      <w:r>
        <w:t>Conservé</w:t>
      </w:r>
    </w:p>
    <w:p>
      <w:pPr>
        <w:pStyle w:val="ListBullet"/>
      </w:pPr>
      <w:r>
        <w:t>C01 repérage, C02 correspondance des noms, C03 nommer, C04 retrouver, C05 déduire, C06 relier, C07 appliquer et C08 retenir après délai.</w:t>
      </w:r>
    </w:p>
    <w:p>
      <w:pPr>
        <w:pStyle w:val="ListBullet"/>
      </w:pPr>
      <w:r>
        <w:t>Notation internationale/française commutable, sans examen de traduction bloquant.</w:t>
      </w:r>
    </w:p>
    <w:p>
      <w:pPr>
        <w:pStyle w:val="ListBullet"/>
      </w:pPr>
      <w:r>
        <w:t>Découvert, travaillé et consolidé suivis par emplacement, configuration et sens de réponse.</w:t>
      </w:r>
    </w:p>
    <w:p>
      <w:pPr>
        <w:pStyle w:val="ListBullet"/>
      </w:pPr>
      <w:r>
        <w:t>Aides retirées progressivement ; une réussite avec solution visible n’est pas un rappel autonome.</w:t>
      </w:r>
    </w:p>
    <w:p>
      <w:pPr>
        <w:pStyle w:val="ListBullet"/>
      </w:pPr>
      <w:r>
        <w:t>Première réponse conservée ; une correction ne l’efface pas.</w:t>
      </w:r>
    </w:p>
    <w:p>
      <w:pPr>
        <w:pStyle w:val="ListBullet"/>
      </w:pPr>
      <w:r>
        <w:t>Résultats instrumentaux déclarés séparés des réponses mesurées sur téléphone.</w:t>
      </w:r>
    </w:p>
    <w:p>
      <w:pPr>
        <w:pStyle w:val="ListBullet"/>
      </w:pPr>
      <w:r>
        <w:t>Révisions et confirmations différées, sans vitesse obligatoire pour continuer.</w:t>
      </w:r>
    </w:p>
    <w:p>
      <w:pPr>
        <w:pStyle w:val="ListBullet"/>
      </w:pPr>
      <w:r>
        <w:t>Conservation de l’historique et des étoiles, sans les convertir automatiquement en preuve de maîtrise du nouveau parcours.</w:t>
      </w:r>
    </w:p>
    <w:p>
      <w:pPr>
        <w:pStyle w:val="Heading2"/>
      </w:pPr>
      <w:r>
        <w:t>Remplacé</w:t>
      </w:r>
    </w:p>
    <w:p>
      <w:r>
        <w:t>Le quota de 24 micro-leçons, les introductions successives sur une seule corde, les longues séquences de cases contiguës, le pilote limité à une logique Mi/La figée, et la conception de l’adaptation sept cordes comme simple extension ultérieure.</w:t>
      </w:r>
    </w:p>
    <w:p>
      <w:r>
        <w:t>Les tableaux de correspondance vers ML01–ML24 du dossier précédent deviennent un historique de conception. Ils ne doivent pas servir tels quels à une migration vers ce nouveau parcours. Les données de position et les compétences restent réutilisables ; les destinations précises devront suivre les nouvelles activités après validation.</w:t>
      </w:r>
    </w:p>
    <w:p>
      <w:pPr>
        <w:pStyle w:val="Heading2"/>
      </w:pPr>
      <w:r>
        <w:t>Les seuils ne deviennent pas des lois pédagogiques</w:t>
      </w:r>
    </w:p>
    <w:p>
      <w:r>
        <w:t>Les 90 % et 24 h du dossier précédent sont des paramètres initiaux de pilote, non des valeurs scientifiquement optimales. Les garanties recherchées sont la couverture locale, l’absence d’aide de réponse, des vérifications dans les deux sens et la persistance après un délai réel. On ne bloque pas chaque nouvelle activité pendant une journée.</w:t>
      </w:r>
    </w:p>
    <w:p>
      <w:r>
        <w:t>Les cinq étoiles à 1 seconde restent un défi de fluidité dans un format donné. Elles ne conditionnent pas l’apprentissage suivant et ne prouvent pas que l’on saura improviser en temps réel sur une guitare.</w:t>
      </w:r>
    </w:p>
    <w:p>
      <w:pPr>
        <w:pStyle w:val="Heading1"/>
      </w:pPr>
      <w:r>
        <w:t>9. Le format d’un exercice et la mesure de la réussite</w:t>
      </w:r>
    </w:p>
    <w:p>
      <w:r>
        <w:t>Une activité suit un rythme court : une relation montrée et entendue ; un essai ; des réponses mélangées dans les deux sens ; un petit motif ; un retour ultérieur sans repère de solution. Ces moments ne sont pas cinq écrans obligatoires à chaque fois.</w:t>
      </w:r>
    </w:p>
    <w:p>
      <w:r>
        <w:t>Le volume dépend des éléments nouveaux et des erreurs. Une note déjà disponible n’exige pas une nouvelle série complète ; une localisation fragile reçoit quelques retours ciblés dans d’autres contextes. La séance garde une fin claire. L’application ne fabrique pas une liste infinie de révisions.</w:t>
      </w:r>
    </w:p>
    <w:p>
      <w:r>
        <w:t>La roue naturelle est une réponse par choix de nom ; elle est utile pour jouer et apprendre. Un bilan de nom produit, avec saisie ou composition sans propositions de solution, mesure autre chose et reste identifié. Pour mesurer le rappel visuel, le son de la note cible n’est pas donné avant la première réponse ; il reste disponible en découverte et entraînement, et après réponse en correction.</w:t>
      </w:r>
    </w:p>
    <w:p>
      <w:r>
        <w:t>Sur guitare, une petite grille distingue les bonnes notes, l’ordre, la continuité, l’hésitation de recherche, la difficulté du geste et l’usage d’un support. Sans microphone, ce résultat reste déclaratif. Sans guitare, on poursuit les activités de carte et de suite de positions.</w:t>
      </w:r>
    </w:p>
    <w:p>
      <w:pPr>
        <w:pStyle w:val="Heading1"/>
      </w:pPr>
      <w:r>
        <w:t>10. Le passage aux altérations</w:t>
      </w:r>
    </w:p>
    <w:p>
      <w:r>
        <w:t>Il intervient après la couverture des positions naturelles dans les deux sens et le travail des familles, pas seulement après avoir répondu une fois à chacun des sept noms. Les positions encore fragiles continuent à être révisées ; attendre une maîtrise parfaite de vitesse n’est pas nécessaire.</w:t>
      </w:r>
    </w:p>
    <w:p>
      <w:r>
        <w:t>F♯ est alors rencontré entre F et G ; les autres cases se déduisent depuis les repères construits. Les altérations enrichissent ensuite les relations musicales : E–F♯ permet une seconde majeure, B–F♯ une quinte juste. La roue chromatique devient justifiée par la présence réelle de ces nouvelles notes, plutôt que par le nombre de sons du système musical.</w:t>
      </w:r>
    </w:p>
    <w:p>
      <w:pPr>
        <w:pStyle w:val="Heading1"/>
      </w:pPr>
      <w:r>
        <w:t>11. Vérifications avant de construire le pilote</w:t>
      </w:r>
    </w:p>
    <w:p>
      <w:r>
        <w:t>Le futur plan dérivé de chaque configuration doit rendre contrôlables : la corde la plus grave et son registre ; les noms à vide ; les qualités et directions d’intervalles ; les familles de cordes équivalentes ; les positions inaccessibles ; la couverture naturelle complète ; l’acceptation de toutes les bonnes réponses ; la séparation des résultats et aides.</w:t>
      </w:r>
    </w:p>
    <w:p>
      <w:r>
        <w:t>Cas représentatifs retenus : EADGBE, BEADGBE, DADGAD et B–F♯–B–E–A–C♯–F♯. Un profil à tonique altérée doit déclencher explicitement la décision de compatibilité, pas un parcours naturel faussement annoncé.</w:t>
      </w:r>
    </w:p>
    <w:p>
      <w:r>
        <w:t>Les calculs de hauteurs et d’emplacements de cette proposition ont été vérifiés dans la zone 0–4. L’ordre de découverte et le plaisir ressenti restent des hypothèses à observer auprès d’élèves ; aucune supériorité pédagogique mesurée n’est affirmée. Cette livraison ne modifie ni le code ni le contenu actuellement affiché par la PWA.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