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Latest Keywords of Secure Infomation </w:t>
      </w:r>
    </w:p>
    <w:p>
      <w:r>
        <w:t>2024-07-09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Keywords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aerospace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supply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kvm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cloud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downtime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recovery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path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hyundai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ssh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trend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national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0.39</w:t>
            </w:r>
          </w:p>
        </w:tc>
      </w:tr>
      <w:tr>
        <w:tc>
          <w:tcPr>
            <w:tcW w:type="dxa" w:w="4320"/>
          </w:tcPr>
          <w:p>
            <w:r>
              <w:t>micro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auto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bgp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gogs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vulnerabilities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  <w:tr>
        <w:tc>
          <w:tcPr>
            <w:tcW w:type="dxa" w:w="4320"/>
          </w:tcPr>
          <w:p>
            <w:r>
              <w:t>cobalt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0.33</w:t>
            </w:r>
          </w:p>
        </w:tc>
      </w:tr>
      <w:tr>
        <w:tc>
          <w:tcPr>
            <w:tcW w:type="dxa" w:w="4320"/>
          </w:tcPr>
          <w:p>
            <w:r>
              <w:t>app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nexus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0.32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0.31</w:t>
            </w:r>
          </w:p>
        </w:tc>
      </w:tr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manga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prudential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kisa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mail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ransomware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program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strike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eldorado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costs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