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b/>
          <w:bCs/>
          <w:sz w:val="32"/>
          <w:szCs w:val="32"/>
        </w:rPr>
        <w:t xml:space="preserve">ClearGov Transparency</w:t>
      </w:r>
    </w:p>
    <w:p>
      <w:pPr>
        <w:pStyle w:val="Heading2"/>
      </w:pPr>
      <w:r>
        <w:rPr>
          <w:rFonts w:ascii="Calibri" w:cs="Calibri" w:eastAsia="Calibri" w:hAnsi="Calibri"/>
          <w:sz w:val="24"/>
          <w:szCs w:val="24"/>
        </w:rPr>
        <w:t xml:space="preserve">Accessibility Conformance Report — WCAG Edition</w:t>
      </w:r>
    </w:p>
    <w:p/>
    <w:p>
      <w:r>
        <w:rPr>
          <w:rFonts w:ascii="Calibri" w:cs="Calibri" w:eastAsia="Calibri" w:hAnsi="Calibri"/>
          <w:b/>
          <w:bCs/>
          <w:sz w:val="20"/>
          <w:szCs w:val="20"/>
        </w:rPr>
        <w:t xml:space="preserve">Report Date: </w:t>
      </w:r>
      <w:r>
        <w:rPr>
          <w:rFonts w:ascii="Calibri" w:cs="Calibri" w:eastAsia="Calibri" w:hAnsi="Calibri"/>
          <w:sz w:val="20"/>
          <w:szCs w:val="20"/>
        </w:rPr>
        <w:t xml:space="preserve">[DATE]</w:t>
      </w:r>
    </w:p>
    <w:p>
      <w:r>
        <w:rPr>
          <w:rFonts w:ascii="Calibri" w:cs="Calibri" w:eastAsia="Calibri" w:hAnsi="Calibri"/>
          <w:b/>
          <w:bCs/>
          <w:sz w:val="20"/>
          <w:szCs w:val="20"/>
        </w:rPr>
        <w:t xml:space="preserve">Product Name: </w:t>
      </w:r>
      <w:r>
        <w:rPr>
          <w:rFonts w:ascii="Calibri" w:cs="Calibri" w:eastAsia="Calibri" w:hAnsi="Calibri"/>
          <w:sz w:val="20"/>
          <w:szCs w:val="20"/>
        </w:rPr>
        <w:t xml:space="preserve">ClearGov Transparency</w:t>
      </w:r>
    </w:p>
    <w:p>
      <w:r>
        <w:rPr>
          <w:rFonts w:ascii="Calibri" w:cs="Calibri" w:eastAsia="Calibri" w:hAnsi="Calibri"/>
          <w:b/>
          <w:bCs/>
          <w:sz w:val="20"/>
          <w:szCs w:val="20"/>
        </w:rPr>
        <w:t xml:space="preserve">Product Description: </w:t>
      </w:r>
      <w:r>
        <w:rPr>
          <w:rFonts w:ascii="Calibri" w:cs="Calibri" w:eastAsia="Calibri" w:hAnsi="Calibri"/>
          <w:sz w:val="20"/>
          <w:szCs w:val="20"/>
        </w:rPr>
        <w:t xml:space="preserve">ClearGov Transparency is a public-facing financial data visualization platform that helps municipalities present budgets, revenues, and expenditures to residents in an accessible, interactive format.</w:t>
      </w:r>
    </w:p>
    <w:p>
      <w:r>
        <w:rPr>
          <w:rFonts w:ascii="Calibri" w:cs="Calibri" w:eastAsia="Calibri" w:hAnsi="Calibri"/>
          <w:b/>
          <w:bCs/>
          <w:sz w:val="20"/>
          <w:szCs w:val="20"/>
        </w:rPr>
        <w:t xml:space="preserve">Contact Information: </w:t>
      </w:r>
      <w:r>
        <w:rPr>
          <w:rFonts w:ascii="Calibri" w:cs="Calibri" w:eastAsia="Calibri" w:hAnsi="Calibri"/>
          <w:sz w:val="20"/>
          <w:szCs w:val="20"/>
        </w:rPr>
        <w:t xml:space="preserve">accessibility@cleargov.com</w:t>
      </w:r>
    </w:p>
    <w:p>
      <w:r>
        <w:rPr>
          <w:rFonts w:ascii="Calibri" w:cs="Calibri" w:eastAsia="Calibri" w:hAnsi="Calibri"/>
          <w:b/>
          <w:bCs/>
          <w:sz w:val="20"/>
          <w:szCs w:val="20"/>
        </w:rPr>
        <w:t xml:space="preserve">Evaluation Methods Used: </w:t>
      </w:r>
      <w:r>
        <w:rPr>
          <w:rFonts w:ascii="Calibri" w:cs="Calibri" w:eastAsia="Calibri" w:hAnsi="Calibri"/>
          <w:sz w:val="20"/>
          <w:szCs w:val="20"/>
        </w:rPr>
        <w:t xml:space="preserve">Automated testing with axe-core; manual expert review; assistive technology testing.</w:t>
      </w:r>
    </w:p>
    <w:p/>
    <w:p>
      <w:r>
        <w:rPr>
          <w:rFonts w:ascii="Calibri" w:cs="Calibri" w:eastAsia="Calibri" w:hAnsi="Calibri"/>
          <w:b/>
          <w:bCs/>
          <w:sz w:val="20"/>
          <w:szCs w:val="20"/>
        </w:rPr>
        <w:t xml:space="preserve">Scoring: </w:t>
      </w:r>
      <w:r>
        <w:rPr>
          <w:rFonts w:ascii="Calibri" w:cs="Calibri" w:eastAsia="Calibri" w:hAnsi="Calibri"/>
          <w:sz w:val="20"/>
          <w:szCs w:val="20"/>
        </w:rPr>
        <w:t xml:space="preserve">1 = Supports, 0 = Does Not Support, * = Not Applicable / Requires Manual Review</w:t>
      </w:r>
    </w:p>
    <w:p/>
    <w:p>
      <w:pPr>
        <w:pStyle w:val="Heading2"/>
      </w:pPr>
      <w:r>
        <w:rPr>
          <w:rFonts w:ascii="Calibri" w:cs="Calibri" w:eastAsia="Calibri" w:hAnsi="Calibri"/>
          <w:b/>
          <w:bCs/>
          <w:sz w:val="28"/>
          <w:szCs w:val="28"/>
        </w:rPr>
        <w:t xml:space="preserve">Standards / 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68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Standard / Guideline</w:t>
            </w:r>
          </w:p>
        </w:tc>
        <w:tc>
          <w:tcPr>
            <w:tcW w:type="dxa" w:w="468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Included In Report</w:t>
            </w:r>
          </w:p>
        </w:tc>
      </w:tr>
      <w:tr>
        <w:tc>
          <w:tcPr>
            <w:tcW w:type="dxa" w:w="468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Web Content Accessibility Guidelines 2.0</w:t>
            </w:r>
          </w:p>
        </w:tc>
        <w:tc>
          <w:tcPr>
            <w:tcW w:type="dxa" w:w="4680"/>
            <w:tcBorders>
              <w:top w:val="single" w:color="000000" w:sz="1"/>
              <w:left w:val="single" w:color="000000" w:sz="1"/>
              <w:bottom w:val="single" w:color="000000" w:sz="1"/>
              <w:right w:val="single" w:color="000000" w:sz="1"/>
            </w:tcBorders>
          </w:tcPr>
          <w:p>
            <w:r>
              <w:rPr>
                <w:rFonts w:ascii="Calibri" w:cs="Calibri" w:eastAsia="Calibri" w:hAnsi="Calibri"/>
                <w:sz w:val="20"/>
                <w:szCs w:val="20"/>
              </w:rPr>
              <w:t xml:space="preserve">Level A — Yes</w:t>
            </w:r>
          </w:p>
          <w:p>
            <w:r>
              <w:rPr>
                <w:rFonts w:ascii="Calibri" w:cs="Calibri" w:eastAsia="Calibri" w:hAnsi="Calibri"/>
                <w:sz w:val="20"/>
                <w:szCs w:val="20"/>
              </w:rPr>
              <w:t xml:space="preserve">Level AA — Yes</w:t>
            </w:r>
          </w:p>
          <w:p>
            <w:r>
              <w:rPr>
                <w:rFonts w:ascii="Calibri" w:cs="Calibri" w:eastAsia="Calibri" w:hAnsi="Calibri"/>
                <w:sz w:val="20"/>
                <w:szCs w:val="20"/>
              </w:rPr>
              <w:t xml:space="preserve">Level AAA — Yes</w:t>
            </w:r>
          </w:p>
        </w:tc>
      </w:tr>
      <w:tr>
        <w:tc>
          <w:tcPr>
            <w:tcW w:type="dxa" w:w="468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Web Content Accessibility Guidelines 2.1</w:t>
            </w:r>
          </w:p>
        </w:tc>
        <w:tc>
          <w:tcPr>
            <w:tcW w:type="dxa" w:w="4680"/>
            <w:tcBorders>
              <w:top w:val="single" w:color="000000" w:sz="1"/>
              <w:left w:val="single" w:color="000000" w:sz="1"/>
              <w:bottom w:val="single" w:color="000000" w:sz="1"/>
              <w:right w:val="single" w:color="000000" w:sz="1"/>
            </w:tcBorders>
          </w:tcPr>
          <w:p>
            <w:r>
              <w:rPr>
                <w:rFonts w:ascii="Calibri" w:cs="Calibri" w:eastAsia="Calibri" w:hAnsi="Calibri"/>
                <w:sz w:val="20"/>
                <w:szCs w:val="20"/>
              </w:rPr>
              <w:t xml:space="preserve">Level A — Yes</w:t>
            </w:r>
          </w:p>
          <w:p>
            <w:r>
              <w:rPr>
                <w:rFonts w:ascii="Calibri" w:cs="Calibri" w:eastAsia="Calibri" w:hAnsi="Calibri"/>
                <w:sz w:val="20"/>
                <w:szCs w:val="20"/>
              </w:rPr>
              <w:t xml:space="preserve">Level AA — Yes</w:t>
            </w:r>
          </w:p>
          <w:p>
            <w:r>
              <w:rPr>
                <w:rFonts w:ascii="Calibri" w:cs="Calibri" w:eastAsia="Calibri" w:hAnsi="Calibri"/>
                <w:sz w:val="20"/>
                <w:szCs w:val="20"/>
              </w:rPr>
              <w:t xml:space="preserve">Level AAA — Yes</w:t>
            </w:r>
          </w:p>
        </w:tc>
      </w:tr>
      <w:tr>
        <w:tc>
          <w:tcPr>
            <w:tcW w:type="dxa" w:w="468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Web Content Accessibility Guidelines 2.2</w:t>
            </w:r>
          </w:p>
        </w:tc>
        <w:tc>
          <w:tcPr>
            <w:tcW w:type="dxa" w:w="4680"/>
            <w:tcBorders>
              <w:top w:val="single" w:color="000000" w:sz="1"/>
              <w:left w:val="single" w:color="000000" w:sz="1"/>
              <w:bottom w:val="single" w:color="000000" w:sz="1"/>
              <w:right w:val="single" w:color="000000" w:sz="1"/>
            </w:tcBorders>
          </w:tcPr>
          <w:p>
            <w:r>
              <w:rPr>
                <w:rFonts w:ascii="Calibri" w:cs="Calibri" w:eastAsia="Calibri" w:hAnsi="Calibri"/>
                <w:sz w:val="20"/>
                <w:szCs w:val="20"/>
              </w:rPr>
              <w:t xml:space="preserve">Level A — Yes</w:t>
            </w:r>
          </w:p>
          <w:p>
            <w:r>
              <w:rPr>
                <w:rFonts w:ascii="Calibri" w:cs="Calibri" w:eastAsia="Calibri" w:hAnsi="Calibri"/>
                <w:sz w:val="20"/>
                <w:szCs w:val="20"/>
              </w:rPr>
              <w:t xml:space="preserve">Level AA — Yes</w:t>
            </w:r>
          </w:p>
          <w:p>
            <w:r>
              <w:rPr>
                <w:rFonts w:ascii="Calibri" w:cs="Calibri" w:eastAsia="Calibri" w:hAnsi="Calibri"/>
                <w:sz w:val="20"/>
                <w:szCs w:val="20"/>
              </w:rPr>
              <w:t xml:space="preserve">Level AAA — Yes</w:t>
            </w:r>
          </w:p>
        </w:tc>
      </w:tr>
    </w:tbl>
    <w:p/>
    <w:p>
      <w:pPr>
        <w:pStyle w:val="Heading2"/>
      </w:pPr>
      <w:r>
        <w:rPr>
          <w:rFonts w:ascii="Calibri" w:cs="Calibri" w:eastAsia="Calibri" w:hAnsi="Calibri"/>
          <w:b/>
          <w:bCs/>
          <w:sz w:val="28"/>
          <w:szCs w:val="28"/>
        </w:rPr>
        <w:t xml:space="preserve">WCAG — Perceivable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337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Questions</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Score</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Weighted Score</w:t>
            </w:r>
          </w:p>
        </w:tc>
        <w:tc>
          <w:tcPr>
            <w:tcW w:type="dxa" w:w="3463"/>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Comments</w:t>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1.1: Non-Text Content</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All images, form image buttons, and image map hot spots have appropriate, equivalent alternative text.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Images that do not convey content, are decorative, or contain content that is already conveyed in text are given null alt text (alt="") or implemented as CSS backgrounds. All linked images have descriptive alternative text.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Equivalent alternatives to complex images are provided in context or on a separate linked page.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Form buttons have a descriptive value.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Form inputs have associated text labels.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Embedded multimedia is identified via accessible text.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Frames and iframes are appropriately titled.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1.2: Time-Based Media</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descriptive text transcript that includes relevant auditory content is provided for non-live audio-only (audio podcasts, MP3 files, etc.).</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descriptive text transcript or audio description is provided for non-live video-only (e.g., video that has no audio track), unless the video is decorative.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Synchronized captions are provided for non-live video (YouTube videos, etc.).</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descriptive text transcript OR audio description track is provided for non-live video. NOTE: Only required if the video conveys content visually that is not presented via the audio track.</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Synchronized captions are provided for all live multimedia that contains audio (audio-only broadcasts, web casts, video conferences, etc.)</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Audio descriptions are provided for all video contentNOTE: Only required if the video conveys content visually that is not presented via the audio track.</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sign language video is provided for all media content that contains audio.</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When audio description cannot be added to video due to audio timing (e.g., insufficient pauses in the audio), an alternative version of the video with pauses that allow audio descriptions is provided.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descriptive text transcript is provided for all pre-recorded media that has a video track. For optimal accessibility, WebAIM strongly recommends transcripts for all multimedia content.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descriptive text transcript (e.g., the script of the live audio) is provided for all live content that has audio.</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1.3: Adaptable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Semantic markup is used to designate headings (&lt;h1&gt;), regions/landmarks, lists (&lt;ul&gt;, &lt;ol&gt;, and &lt;dl&gt;), emphasized or special text (&lt;strong&gt;, &lt;code&gt;, &lt;abbr&gt;, &lt;blockquote&gt;, for example), etc. Semantic markup is used appropriately.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Tables are used for tabular data and data cells are associated with their headers. Data table captions, if present, are associated to data tables.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Text labels are associated with form input elements. Related form elements are grouped with fieldset/legend. ARIA labelling may be used when standard HTML is insufficient.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reading and navigation order (determined by code order) is logical and intuitive.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Instructions do not rely upon shape, size, or visual location (e.g., "Click the square icon to continue" or "Instructions are in the right-hand column").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Instructions do not rely upon sound (e.g., "A beeping sound indicates you may continue.").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Orientation of web content is not restricted to only portrait or landscape, unless a specific orientation is necessary.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Input fields that collect certain types of user information have an appropriate autocomplete attribute defined.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HTML5 regions or ARIA landmarks are used to identify page regions.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ARIA is used, where appropriate, to enhance HTML semantics to better identify the purpose of interface components.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1.4: Distinguishable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Color is not used as the sole method of conveying content or distinguishing visual elements.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Color alone is not used to distinguish links from surrounding text unless the contrast ratio between the link and the surrounding text is at least 3:1 and an additional distinction (e.g., it becomes underlined) is provided when the link is hovered over and receives focus.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mechanism is provided to stop, pause, mute, or adjust volume for audio that automatically plays on a page for more than 3 seconds.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Text and images of text have a contrast ratio of at least 4.5:1.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page is readable and functional when the page is zoomed to 200%. .</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the same visual presentation can be made using text alone, an image is not used to present that text.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Text and images of text have a contrast ratio of at least 7:1.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Audio with speech has no or very low background noise so the speech is easily distinguished.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Blocks of text over one sentence in length:Are no more than 80 characters wide.Are NOT fully justified (aligned to both the left and the right margins).Have adequate line spacing (at least 1/2 the height of the text) and paragraph spacing (1.5 times line spacing).Have a specified foreground and background color. These can be applied to specific elements or to the entire page using CSS (and thus inherited by all other elements).Do NOT require horizontal scrolling when the text size is doubled.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Text is used within an image only for decoration (image does not convey content) OR when the information cannot be presented with text alone.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No loss of content or functionality occurs and horizontal scrolling is avoided when content is presented at a width of 320 pixels.This requires responsive design for most web sites. This is best tested by setting the browser window to 1280 pixels wide and then zooming the page content to 400%.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contrast ratio of at least 3:1 is present for differentiating graphical objects (such as icons and components of charts or graphs) and author-customized interface components (such as buttons, form controls, and focus indicators/outlines).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No loss of content or functionality occurs when the user adapts text line height/spacing to 1.5 times the font size, paragraph spacing to 2 times the font size, word spacing to .16 times the font size, and letter spacing to .12 times the font size.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When additional content is presented on hover or keyboard focus:The newly revealed content can be dismissed (generally via the Esc key) without moving the pointer or keyboard focus, unless the content presents an input error or does not obscure or interfere with other page content.The pointer can be moved to the new content without the content disappearing.The new content must remain visible until the pointer or keyboard focus is moved away from the triggering control, the new content is dismissed, or the new content is no longer relevant.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b/>
                <w:bCs/>
                <w:sz w:val="20"/>
                <w:szCs w:val="20"/>
              </w:rPr>
              <w:t xml:space="preserve">Category Subtotal</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bl>
    <w:p/>
    <w:p>
      <w:pPr>
        <w:pStyle w:val="Heading2"/>
      </w:pPr>
      <w:r>
        <w:rPr>
          <w:rFonts w:ascii="Calibri" w:cs="Calibri" w:eastAsia="Calibri" w:hAnsi="Calibri"/>
          <w:b/>
          <w:bCs/>
          <w:sz w:val="28"/>
          <w:szCs w:val="28"/>
        </w:rPr>
        <w:t xml:space="preserve">WCAG — Operable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337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Questions</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Score</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Weighted Score</w:t>
            </w:r>
          </w:p>
        </w:tc>
        <w:tc>
          <w:tcPr>
            <w:tcW w:type="dxa" w:w="3463"/>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Comments</w:t>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2.1: Keyboard Accessible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All page functionality is available using the keyboard, unless the functionality cannot be accomplished in any known way using a keyboard (e.g., free hand drawing).</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Keyboard focus is never locked or trapped at one particular page element. The user can navigate to and from all navigable page elements using only a keyboard.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All page functionality is available using the keyboard.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 keyboard shortcut uses printable character keys, then the user must be able to disable the key command, change the defined key to a non-printable key (Ctrl, Alt, etc.), or only activate the shortcut when an associated interface component or button is focused.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2.2: Enough Time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 page or application has a time limit, the user is given options to turn off, adjust, or extend that time limit. This is not a requirement for real-time events (e.g., an auction), where the time limit is absolutely required, or if the time limit is longer than 20 hours.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Automatically moving, blinking, or scrolling content (such as carousels, marquees, or animations) that lasts longer than 5 seconds can be paused, stopped, or hidden by the user.Automatically updating content (e.g., a dynamically-updating news ticker, chat messages, etc.) can be paused, stopped, or hidden by the user or the user can manually control the timing of the updates.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content and functionality have no time limits or constraints.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an authentication session expires, the user can re-authenticate and continue the activity without losing any data from the current page.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Users must be warned of any timeout that could result in data loss, unless the data is preserved for longer than 20 hours of user inactivity.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2.3: Seizures and Physical Reactions</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No page content flashes more than 3 times per second unless that flashing content is sufficiently small and the flashes are of low contrast and do not contain too much red.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No page content flashes more than 3 times per second.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Users can disable non-essential animation and movement that is triggered by user interaction.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2.4: Navigable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link is provided to skip navigation and other page elements that are repeated across web pages.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web page has a descriptive and informative page title.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navigation order of links, form elements, etc. is logical and intuitive.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purpose of each link (or form image button or image map hotspot) can be determined from the link text alone, or from the link text and its context (e.g., surrounding text, list item, table cell, or table headers).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Multiple ways are available to find other web pages on the site - at least two of: a list of related pages, table of contents, site map, site search, or list of all available web pages.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Page headings and labels for form and interactive controls are informative.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It is visually apparent which page element has the current keyboard focus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 web page is part of a sequence of pages or within a complex site structure, an indication of the current page location is provided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purpose of each link (or form image button or image map hotspot) can be determined from the link text alone.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Beyond providing an overall document structure, individual sections of content are designated using headings, where appropriate.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2.5: Input Modalities</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multipoint or path-based gestures (such as pinching, swiping, or dragging across the screen) are not essential to the functionality, then the functionality can also be performed with a single point activation (such as activating a button).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To help avoid inadvertent activation of controls, avoid non-essential down-event (e.g., onmousedown) activation when clicking, tapping, or long pressing the screen. Use onclick, onmouseup, or similar instead. If onmouseup (or similar) is used, you must provide a mechanism to abort or undo the action performed.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an interface component (link, button, etc.) presents text (or images of text), the accessible name (label, alternative text, aria-label, etc.) for that component must include the visible text.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Functionality that is triggered by moving the device (such as shaking or panning a mobile device) or by user movement (such as waving to a camera) can be disabled and equivalent functionality is provided via standard controls like buttons.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Clickable targets are at least 44 by 44 pixels in size unless an alternative target of that size is provided, the target is inline (such as a link within a sentence), the target is not author-modified (such as a default checkbox), or the small target size is essential to the functionality.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Content does not restrict input to a specific modality, such as touch-only or keyboard-only, but must support alternative inputs (such as using a keyboard on a mobile device).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b/>
                <w:bCs/>
                <w:sz w:val="20"/>
                <w:szCs w:val="20"/>
              </w:rPr>
              <w:t xml:space="preserve">Category Subtotal</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bl>
    <w:p/>
    <w:p>
      <w:pPr>
        <w:pStyle w:val="Heading2"/>
      </w:pPr>
      <w:r>
        <w:rPr>
          <w:rFonts w:ascii="Calibri" w:cs="Calibri" w:eastAsia="Calibri" w:hAnsi="Calibri"/>
          <w:b/>
          <w:bCs/>
          <w:sz w:val="28"/>
          <w:szCs w:val="28"/>
        </w:rPr>
        <w:t xml:space="preserve">WCAG — Understandable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337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Questions</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Score</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Weighted Score</w:t>
            </w:r>
          </w:p>
        </w:tc>
        <w:tc>
          <w:tcPr>
            <w:tcW w:type="dxa" w:w="3463"/>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Comments</w:t>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3.1: Readable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language of the page is identified using the HTML lang attribute (e.g., &lt;html lang="en"&gt;).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language of page content that is in a different language is identified using the lang attribute (e.g., &lt;blockquote lang="es"&gt;).</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Words that may be ambiguous, unfamiliar, or used in a very specific way are defined through adjacent text, a definition list, a glossary, or other suitable method.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The meaning of an unfamiliar abbreviation is provided by expanding it the first time it is used, using the &lt;abbr&gt; element, or linking to a definition or glossary.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A more understandable alternative is provided for content that is more advanced than can be reasonably read by a person with roughly 9 years of primary education.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the pronunciation of a word is vital to understanding that word, its pronunciation is provided immediately following the word or via a link or glossary.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3.2: Predictable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When a page element receives focus, it does not result in a substantial change to the page, the spawning of a pop-up window, an additional change of keyboard focus, or any other change that could confuse or disorient the user.</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When a user inputs information or interacts with a control, it does not result in a substantial change to the page, the spawning of a pop-up window, an additional change of keyboard focus, or any other change that could confuse or disorient the user unless the user is informed of the change ahead of time.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Navigation links that are repeated on web pages do not change order when navigating through the site.</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Elements that have the same functionality across multiple web pages are consistently identified. For example, a search box at the top of the site should always be labeled the same way.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Substantial changes to the page, the spawning of pop-up windows, uncontrolled changes of keyboard focus, or any other change that could confuse or disorient the user must be initiated by the user. Alternatively, the user is provided an option to disable such changes.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3.3: Input Assistance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Required form elements or form elements that require a specific format, value, or length provide this information within the element's label.</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Sufficient labels, cues, and instructions for required interactive elements are provided via instructions, examples, properly positioned form labels, and/or fieldsets/legends.</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an input error is detected (via client-side or server-side validation), suggestions are provided for fixing the input in a timely and accessible manner.</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the user can change or delete legal, financial, or test data, the changes/deletions can be reversed, verified, or confirmed.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0</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Instructions and cues are provided in context to help in form completion and submission.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the user can submit information, the submission is reversible, verified, or confirmed.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1</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b/>
                <w:bCs/>
                <w:sz w:val="20"/>
                <w:szCs w:val="20"/>
              </w:rPr>
              <w:t xml:space="preserve">Category Subtotal</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bl>
    <w:p/>
    <w:p>
      <w:pPr>
        <w:pStyle w:val="Heading2"/>
      </w:pPr>
      <w:r>
        <w:rPr>
          <w:rFonts w:ascii="Calibri" w:cs="Calibri" w:eastAsia="Calibri" w:hAnsi="Calibri"/>
          <w:b/>
          <w:bCs/>
          <w:sz w:val="28"/>
          <w:szCs w:val="28"/>
        </w:rPr>
        <w:t xml:space="preserve">WCAG — Robust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3370"/>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Questions</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Score</w:t>
            </w:r>
          </w:p>
        </w:tc>
        <w:tc>
          <w:tcPr>
            <w:tcW w:type="dxa" w:w="842"/>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Weighted Score</w:t>
            </w:r>
          </w:p>
        </w:tc>
        <w:tc>
          <w:tcPr>
            <w:tcW w:type="dxa" w:w="3463"/>
            <w:tcBorders>
              <w:top w:val="single" w:color="000000" w:sz="1"/>
              <w:left w:val="single" w:color="000000" w:sz="1"/>
              <w:bottom w:val="single" w:color="000000" w:sz="1"/>
              <w:right w:val="single" w:color="000000" w:sz="1"/>
            </w:tcBorders>
            <w:shd w:fill="4472C4" w:color="auto" w:val="clear"/>
          </w:tcPr>
          <w:p>
            <w:pPr>
              <w:jc w:val="center"/>
            </w:pPr>
            <w:r>
              <w:rPr>
                <w:rFonts w:ascii="Calibri" w:cs="Calibri" w:eastAsia="Calibri" w:hAnsi="Calibri"/>
                <w:b/>
                <w:bCs/>
                <w:color w:val="FFFFFF"/>
                <w:sz w:val="20"/>
                <w:szCs w:val="20"/>
              </w:rPr>
              <w:t xml:space="preserve">Comments</w:t>
            </w:r>
          </w:p>
        </w:tc>
      </w:tr>
      <w:tr>
        <w:tc>
          <w:tcPr>
            <w:tcW w:type="dxa" w:w="9360"/>
            <w:gridSpan w:val="5"/>
            <w:tcBorders>
              <w:top w:val="single" w:color="000000" w:sz="1"/>
              <w:left w:val="single" w:color="000000" w:sz="1"/>
              <w:bottom w:val="single" w:color="000000" w:sz="1"/>
              <w:right w:val="single" w:color="000000" w:sz="1"/>
            </w:tcBorders>
            <w:shd w:fill="D9E2F3" w:color="auto" w:val="clear"/>
          </w:tcPr>
          <w:p>
            <w:r>
              <w:rPr>
                <w:rFonts w:ascii="Calibri" w:cs="Calibri" w:eastAsia="Calibri" w:hAnsi="Calibri"/>
                <w:b/>
                <w:bCs/>
                <w:sz w:val="20"/>
                <w:szCs w:val="20"/>
              </w:rPr>
              <w:t xml:space="preserve">4.1: Compatible</w:t>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Significant HTML/XHTML validation/parsing errors are avoided.</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Markup is used in a way that facilitates accessibility. This includes following the HTML/XHTML specifications and using forms, form labels, frame titles, etc. appropriately.</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3</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If an important status message is presented and focus is not set to that message, the message must be announced to screen reader users, typically via an ARIA alert or live region.</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2</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r>
        <w:tc>
          <w:tcPr>
            <w:tcW w:type="dxa" w:w="3370"/>
            <w:tcBorders>
              <w:top w:val="single" w:color="000000" w:sz="1"/>
              <w:left w:val="single" w:color="000000" w:sz="1"/>
              <w:bottom w:val="single" w:color="000000" w:sz="1"/>
              <w:right w:val="single" w:color="000000" w:sz="1"/>
            </w:tcBorders>
          </w:tcPr>
          <w:p>
            <w:pPr>
              <w:jc w:val="left"/>
            </w:pPr>
            <w:r>
              <w:rPr>
                <w:rFonts w:ascii="Calibri" w:cs="Calibri" w:eastAsia="Calibri" w:hAnsi="Calibri"/>
                <w:b/>
                <w:bCs/>
                <w:sz w:val="20"/>
                <w:szCs w:val="20"/>
              </w:rPr>
              <w:t xml:space="preserve">Category Subtotal</w:t>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842"/>
            <w:tcBorders>
              <w:top w:val="single" w:color="000000" w:sz="1"/>
              <w:left w:val="single" w:color="000000" w:sz="1"/>
              <w:bottom w:val="single" w:color="000000" w:sz="1"/>
              <w:right w:val="single" w:color="000000" w:sz="1"/>
            </w:tcBorders>
          </w:tcPr>
          <w:p>
            <w:pPr>
              <w:jc w:val="center"/>
            </w:pPr>
            <w:r>
              <w:rPr>
                <w:rFonts w:ascii="Calibri" w:cs="Calibri" w:eastAsia="Calibri" w:hAnsi="Calibri"/>
                <w:sz w:val="20"/>
                <w:szCs w:val="20"/>
              </w:rPr>
              <w:t xml:space="preserve"/>
            </w:r>
          </w:p>
        </w:tc>
        <w:tc>
          <w:tcPr>
            <w:tcW w:type="dxa" w:w="3463"/>
            <w:tcBorders>
              <w:top w:val="single" w:color="000000" w:sz="1"/>
              <w:left w:val="single" w:color="000000" w:sz="1"/>
              <w:bottom w:val="single" w:color="000000" w:sz="1"/>
              <w:right w:val="single" w:color="000000" w:sz="1"/>
            </w:tcBorders>
          </w:tcPr>
          <w:p>
            <w:pPr>
              <w:jc w:val="left"/>
            </w:pPr>
            <w:r>
              <w:rPr>
                <w:rFonts w:ascii="Calibri" w:cs="Calibri" w:eastAsia="Calibri" w:hAnsi="Calibri"/>
                <w:sz w:val="20"/>
                <w:szCs w:val="20"/>
              </w:rPr>
              <w:t xml:space="preserve"/>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2026-02-22T15:37:03.924Z</dcterms:created>
  <dcterms:modified xsi:type="dcterms:W3CDTF">2026-02-22T15:37:03.925Z</dcterms:modified>
</cp:coreProperties>
</file>

<file path=docProps/custom.xml><?xml version="1.0" encoding="utf-8"?>
<Properties xmlns="http://schemas.openxmlformats.org/officeDocument/2006/custom-properties" xmlns:vt="http://schemas.openxmlformats.org/officeDocument/2006/docPropsVTypes"/>
</file>