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Thu Apr 28 09:43:12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4000500"/>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cbd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7a34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