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This approach allows for a fully automated document whereby if the underlying data is changed the report will generate using this new data. Because markdown is lightweight there are a some significant limitations.</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2" w:name="format-data"/>
      <w:bookmarkEnd w:id="22"/>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3" w:name="options"/>
      <w:bookmarkEnd w:id="23"/>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 using the @ operator.</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4" w:name="load-data-into-the-s4-class"/>
      <w:bookmarkEnd w:id="24"/>
      <w:r>
        <w:t xml:space="preserve">Load data into the 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has no end date for toxicity (setting ae_end_date to a large value)</w:t>
      </w:r>
    </w:p>
    <w:p>
      <w:pPr>
        <w:pStyle w:val="SourceCode"/>
      </w:pPr>
      <w:r>
        <w:rPr>
          <w:rStyle w:val="VerbatimChar"/>
        </w:rPr>
        <w:t xml:space="preserve">## Patient: PT03 toxicity: Sneezing line: 15 has no end date for toxicity (setting ae_end_date to a large value)</w:t>
      </w:r>
    </w:p>
    <w:p>
      <w:pPr>
        <w:pStyle w:val="SourceCode"/>
      </w:pPr>
      <w:r>
        <w:rPr>
          <w:rStyle w:val="VerbatimChar"/>
        </w:rPr>
        <w:t xml:space="preserve">## Patient: PT05 toxicity: Headache line: 26 has no end date for toxicity (setting ae_end_date to a large value)</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0</w:t>
      </w:r>
    </w:p>
    <w:p>
      <w:pPr>
        <w:pStyle w:val="SourceCode"/>
      </w:pPr>
      <w:r>
        <w:rPr>
          <w:rStyle w:val="VerbatimChar"/>
        </w:rPr>
        <w:t xml:space="preserve">## Number of missing data problems: 3</w:t>
      </w:r>
    </w:p>
    <w:p>
      <w:pPr>
        <w:pStyle w:val="SourceCode"/>
      </w:pPr>
      <w:r>
        <w:rPr>
          <w:rStyle w:val="VerbatimChar"/>
        </w:rPr>
        <w:t xml:space="preserve">## Number of incorrect data problems: 0</w:t>
      </w:r>
    </w:p>
    <w:p>
      <w:pPr>
        <w:pStyle w:val="Heading2"/>
      </w:pPr>
      <w:bookmarkStart w:id="25" w:name="queries-and-notes"/>
      <w:bookmarkEnd w:id="25"/>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encountered.</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PT01 toxicity: Vomiting line: 6 has no end date for toxicity (setting ae_end_date to a large value)</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PT03 toxicity: Sneezing line: 15 has no end date for toxicity (setting ae_end_date to a large value)</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PT05 toxicity: Headache line: 26 has no end date for toxicity (setting ae_end_date to a large value)</w:t>
            </w:r>
          </w:p>
        </w:tc>
      </w:tr>
    </w:tbl>
    <w:p>
      <w:pPr>
        <w:pStyle w:val="Heading1"/>
      </w:pPr>
      <w:bookmarkStart w:id="26" w:name="tables"/>
      <w:bookmarkEnd w:id="26"/>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7" w:name="summary"/>
      <w:bookmarkEnd w:id="27"/>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8" w:name="cycle"/>
      <w:bookmarkEnd w:id="28"/>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29" w:name="summary-table-by-cycle-with-percentages"/>
      <w:bookmarkEnd w:id="29"/>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0" w:name="summary-table-by-cycle-with-counts-not-cumulative"/>
      <w:bookmarkEnd w:id="30"/>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all-toxicities-worst-grade-by-patient"/>
      <w:bookmarkEnd w:id="31"/>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2" w:name="baseline-table-with-counts"/>
      <w:bookmarkEnd w:id="32"/>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all-cycles-in-a-for-loop"/>
      <w:bookmarkEnd w:id="33"/>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4" w:name="registration"/>
      <w:bookmarkEnd w:id="34"/>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randomisation"/>
      <w:bookmarkEnd w:id="35"/>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6" w:name="cycle-1"/>
      <w:bookmarkEnd w:id="36"/>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cycle-2"/>
      <w:bookmarkEnd w:id="37"/>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3"/>
      <w:bookmarkEnd w:id="38"/>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4"/>
      <w:bookmarkEnd w:id="39"/>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5"/>
      <w:bookmarkEnd w:id="40"/>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1" w:name="cycle-6"/>
      <w:bookmarkEnd w:id="41"/>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all-toxicity-changes-in-all-cycles-after-time-period"/>
      <w:bookmarkEnd w:id="42"/>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3" w:name="cycle-1-1"/>
      <w:bookmarkEnd w:id="43"/>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4" w:name="merge-differently"/>
      <w:bookmarkEnd w:id="44"/>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5" w:name="merge-the-respiratory-category"/>
      <w:bookmarkEnd w:id="45"/>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6" w:name="latex-output"/>
      <w:bookmarkEnd w:id="46"/>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Tue Apr 26 14:42:27 2016</w:t>
      </w:r>
    </w:p>
    <w:p>
      <w:pPr>
        <w:pStyle w:val="Heading1"/>
      </w:pPr>
      <w:bookmarkStart w:id="47" w:name="plots"/>
      <w:bookmarkEnd w:id="47"/>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toxPlot_time</w:t>
      </w:r>
      <w:r>
        <w:rPr>
          <w:rStyle w:val="NormalTok"/>
        </w:rPr>
        <w:t xml:space="preserve">(toxDB)</w:t>
      </w:r>
    </w:p>
    <w:p>
      <w:pPr>
        <w:pStyle w:val="SourceCode"/>
      </w:pPr>
      <w:r>
        <w:rPr>
          <w:rStyle w:val="VerbatimChar"/>
        </w:rPr>
        <w:t xml:space="preserve">##      PT01 PT03 PT05 PT02 PT04 PT07 </w:t>
      </w:r>
      <w:r>
        <w:br w:type="textWrapping"/>
      </w:r>
      <w:r>
        <w:rPr>
          <w:rStyle w:val="VerbatimChar"/>
        </w:rPr>
        <w:t xml:space="preserve">##  0.5  3.5  6.5  8.5 11.5 13.5 15.5 </w:t>
      </w:r>
      <w:r>
        <w:br w:type="textWrapping"/>
      </w:r>
      <w:r>
        <w:rPr>
          <w:rStyle w:val="VerbatimChar"/>
        </w:rPr>
        <w:t xml:space="preserve">##         1    2 </w:t>
      </w:r>
      <w:r>
        <w:br w:type="textWrapping"/>
      </w:r>
      <w:r>
        <w:rPr>
          <w:rStyle w:val="VerbatimChar"/>
        </w:rPr>
        <w:t xml:space="preserve">##  0.5  8.5 15.5 </w:t>
      </w:r>
      <w:r>
        <w:br w:type="textWrapping"/>
      </w:r>
      <w:r>
        <w:rPr>
          <w:rStyle w:val="VerbatimChar"/>
        </w:rPr>
        <w:t xml:space="preserve">## [1]  4.5 12.0</w:t>
      </w:r>
    </w:p>
    <w:p>
      <w:pPr>
        <w:pStyle w:val="FirstParagraph"/>
      </w:pPr>
      <w:r>
        <w:drawing>
          <wp:inline>
            <wp:extent cx="4620126" cy="3696101"/>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5f0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16e0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