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B32FBA" w:rsidRDefault="006541DD" w:rsidP="00DF728E">
      <w:pPr>
        <w:pStyle w:val="ListParagraph"/>
        <w:numPr>
          <w:ilvl w:val="0"/>
          <w:numId w:val="1"/>
        </w:numPr>
        <w:tabs>
          <w:tab w:val="left" w:pos="7984"/>
        </w:tabs>
      </w:pPr>
      <w:r>
        <w:t>The expression yields an array of words.</w:t>
      </w:r>
    </w:p>
    <w:p w:rsidR="00B32FBA" w:rsidRDefault="00B32FBA" w:rsidP="00DF728E">
      <w:pPr>
        <w:pStyle w:val="ListParagraph"/>
        <w:numPr>
          <w:ilvl w:val="0"/>
          <w:numId w:val="1"/>
        </w:numPr>
        <w:tabs>
          <w:tab w:val="left" w:pos="7984"/>
        </w:tabs>
      </w:pPr>
      <w:r>
        <w:t>Th</w:t>
      </w:r>
      <w:r w:rsidR="004762A6">
        <w:t xml:space="preserve">e two snippets of code would do </w:t>
      </w:r>
      <w:r>
        <w:t>the same thing.</w:t>
      </w:r>
    </w:p>
    <w:p w:rsidR="00C320D3" w:rsidRDefault="009C4745" w:rsidP="00DF728E">
      <w:pPr>
        <w:pStyle w:val="ListParagraph"/>
        <w:numPr>
          <w:ilvl w:val="0"/>
          <w:numId w:val="1"/>
        </w:numPr>
        <w:tabs>
          <w:tab w:val="left" w:pos="7984"/>
        </w:tabs>
      </w:pPr>
      <w:r>
        <w:t xml:space="preserve"> </w:t>
      </w:r>
      <w:r w:rsidR="007D113D">
        <w:t xml:space="preserve">In Ruby, functions do not need explicit </w:t>
      </w:r>
      <w:r w:rsidR="007D113D" w:rsidRPr="007D113D">
        <w:rPr>
          <w:rFonts w:ascii="Lucida Console" w:hAnsi="Lucida Console"/>
        </w:rPr>
        <w:t>return</w:t>
      </w:r>
      <w:r w:rsidR="007D113D">
        <w:t xml:space="preserve"> statements because the value of the last statement in the function (generally, the line before </w:t>
      </w:r>
      <w:r w:rsidR="007D113D" w:rsidRPr="007D113D">
        <w:rPr>
          <w:rFonts w:ascii="Lucida Console" w:hAnsi="Lucida Console"/>
        </w:rPr>
        <w:t>end</w:t>
      </w:r>
      <w:r w:rsidR="007D113D">
        <w:t xml:space="preserve">) is automatically returned. However, an explicit </w:t>
      </w:r>
      <w:r w:rsidR="007D113D" w:rsidRPr="007D113D">
        <w:rPr>
          <w:rFonts w:ascii="Lucida Console" w:hAnsi="Lucida Console"/>
        </w:rPr>
        <w:t>return</w:t>
      </w:r>
      <w:r w:rsidR="007D113D">
        <w:t xml:space="preserve"> statement can still be used, if so desired.</w:t>
      </w:r>
    </w:p>
    <w:p w:rsidR="005E09D8" w:rsidRDefault="00EB7FD4" w:rsidP="00DF728E">
      <w:pPr>
        <w:pStyle w:val="ListParagraph"/>
        <w:numPr>
          <w:ilvl w:val="0"/>
          <w:numId w:val="1"/>
        </w:numPr>
        <w:tabs>
          <w:tab w:val="left" w:pos="7984"/>
        </w:tabs>
      </w:pPr>
      <w:r>
        <w:t>Four ActiveRecord callback that you can bind methods to: before_save, after_save, before_destroy, after_destroy</w:t>
      </w:r>
    </w:p>
    <w:tbl>
      <w:tblPr>
        <w:tblpPr w:leftFromText="180" w:rightFromText="180" w:vertAnchor="text" w:horzAnchor="page" w:tblpX="2373" w:tblpY="206"/>
        <w:tblW w:w="4080" w:type="dxa"/>
        <w:tblLook w:val="04A0"/>
      </w:tblPr>
      <w:tblGrid>
        <w:gridCol w:w="1240"/>
        <w:gridCol w:w="1420"/>
        <w:gridCol w:w="1420"/>
      </w:tblGrid>
      <w:tr w:rsidR="0068063B" w:rsidRPr="00F32A96" w:rsidTr="0068063B">
        <w:trPr>
          <w:trHeight w:val="615"/>
        </w:trPr>
        <w:tc>
          <w:tcPr>
            <w:tcW w:w="124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HTTP Method</w:t>
            </w:r>
          </w:p>
        </w:tc>
        <w:tc>
          <w:tcPr>
            <w:tcW w:w="142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Controller Action</w:t>
            </w:r>
          </w:p>
        </w:tc>
        <w:tc>
          <w:tcPr>
            <w:tcW w:w="1420" w:type="dxa"/>
            <w:tcBorders>
              <w:top w:val="nil"/>
              <w:left w:val="nil"/>
              <w:bottom w:val="single" w:sz="8" w:space="0" w:color="auto"/>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CRUD Operation</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index</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read</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new</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POST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create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edit</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PUT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update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c>
          <w:tcPr>
            <w:tcW w:w="142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delete</w:t>
            </w:r>
          </w:p>
        </w:tc>
        <w:tc>
          <w:tcPr>
            <w:tcW w:w="1420" w:type="dxa"/>
            <w:tcBorders>
              <w:top w:val="nil"/>
              <w:left w:val="nil"/>
              <w:bottom w:val="nil"/>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r>
    </w:tbl>
    <w:p w:rsidR="00F32A96" w:rsidRDefault="00F32A96" w:rsidP="00DF728E">
      <w:pPr>
        <w:pStyle w:val="ListParagraph"/>
        <w:numPr>
          <w:ilvl w:val="0"/>
          <w:numId w:val="1"/>
        </w:numPr>
        <w:tabs>
          <w:tab w:val="left" w:pos="7984"/>
        </w:tabs>
      </w:pPr>
    </w:p>
    <w:p w:rsidR="0068063B" w:rsidRDefault="0068063B" w:rsidP="0068063B">
      <w:pPr>
        <w:tabs>
          <w:tab w:val="left" w:pos="7984"/>
        </w:tabs>
      </w:pPr>
    </w:p>
    <w:p w:rsidR="0068063B" w:rsidRPr="0068063B" w:rsidRDefault="0068063B" w:rsidP="0068063B"/>
    <w:p w:rsidR="0068063B" w:rsidRPr="0068063B" w:rsidRDefault="0068063B" w:rsidP="0068063B"/>
    <w:p w:rsidR="0068063B" w:rsidRPr="0068063B" w:rsidRDefault="0068063B" w:rsidP="0068063B"/>
    <w:p w:rsidR="0068063B" w:rsidRDefault="0068063B" w:rsidP="0068063B"/>
    <w:p w:rsidR="0068063B" w:rsidRPr="0068063B" w:rsidRDefault="0081205B" w:rsidP="0068063B">
      <w:pPr>
        <w:pStyle w:val="ListParagraph"/>
        <w:numPr>
          <w:ilvl w:val="0"/>
          <w:numId w:val="1"/>
        </w:numPr>
      </w:pPr>
      <w:r>
        <w:t xml:space="preserve">Rails “simulates” PUT and DELETE requests because some browsers only support GET and POST. </w:t>
      </w:r>
    </w:p>
    <w:sectPr w:rsidR="0068063B" w:rsidRPr="0068063B"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801" w:rsidRDefault="00B16801" w:rsidP="00DF728E">
      <w:pPr>
        <w:spacing w:after="0" w:line="240" w:lineRule="auto"/>
      </w:pPr>
      <w:r>
        <w:separator/>
      </w:r>
    </w:p>
  </w:endnote>
  <w:endnote w:type="continuationSeparator" w:id="0">
    <w:p w:rsidR="00B16801" w:rsidRDefault="00B16801"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801" w:rsidRDefault="00B16801" w:rsidP="00DF728E">
      <w:pPr>
        <w:spacing w:after="0" w:line="240" w:lineRule="auto"/>
      </w:pPr>
      <w:r>
        <w:separator/>
      </w:r>
    </w:p>
  </w:footnote>
  <w:footnote w:type="continuationSeparator" w:id="0">
    <w:p w:rsidR="00B16801" w:rsidRDefault="00B16801"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0BAA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310CB8"/>
    <w:rsid w:val="003520C3"/>
    <w:rsid w:val="004762A6"/>
    <w:rsid w:val="0049330B"/>
    <w:rsid w:val="005235A5"/>
    <w:rsid w:val="005E09D8"/>
    <w:rsid w:val="006006A4"/>
    <w:rsid w:val="006541DD"/>
    <w:rsid w:val="0068063B"/>
    <w:rsid w:val="00763179"/>
    <w:rsid w:val="00766943"/>
    <w:rsid w:val="007D113D"/>
    <w:rsid w:val="0081205B"/>
    <w:rsid w:val="009B3E74"/>
    <w:rsid w:val="009C4745"/>
    <w:rsid w:val="009D511E"/>
    <w:rsid w:val="00A2504B"/>
    <w:rsid w:val="00B138DF"/>
    <w:rsid w:val="00B16801"/>
    <w:rsid w:val="00B32FBA"/>
    <w:rsid w:val="00C320D3"/>
    <w:rsid w:val="00C47564"/>
    <w:rsid w:val="00D177B9"/>
    <w:rsid w:val="00D52EDC"/>
    <w:rsid w:val="00DF728E"/>
    <w:rsid w:val="00EB5278"/>
    <w:rsid w:val="00EB73D0"/>
    <w:rsid w:val="00EB7FD4"/>
    <w:rsid w:val="00F06735"/>
    <w:rsid w:val="00F32A96"/>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divs>
    <w:div w:id="6286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1456</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26</cp:revision>
  <dcterms:created xsi:type="dcterms:W3CDTF">2012-03-09T08:46:00Z</dcterms:created>
  <dcterms:modified xsi:type="dcterms:W3CDTF">2012-03-10T09:05:00Z</dcterms:modified>
</cp:coreProperties>
</file>