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F341A" w14:textId="7A036991" w:rsidR="003E5AFF" w:rsidRPr="00572F67" w:rsidRDefault="00171FBB" w:rsidP="00171FBB">
      <w:pPr>
        <w:ind w:left="-851"/>
        <w:jc w:val="center"/>
        <w:rPr>
          <w:rFonts w:ascii="Impact" w:hAnsi="Impact"/>
          <w:b/>
          <w:sz w:val="28"/>
          <w:szCs w:val="24"/>
        </w:rPr>
      </w:pPr>
      <w:r w:rsidRPr="00B77CD9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248AA703" wp14:editId="387F8F27">
            <wp:extent cx="752475" cy="655955"/>
            <wp:effectExtent l="0" t="0" r="0" b="0"/>
            <wp:docPr id="10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69" cy="67878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AE93A0" w14:textId="6592BB05" w:rsidR="006409E9" w:rsidRPr="0063408C" w:rsidRDefault="0063408C" w:rsidP="00312C3B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bookmarkStart w:id="0" w:name="_Hlk535771121"/>
      <w:r w:rsidRPr="0063408C">
        <w:rPr>
          <w:rFonts w:ascii="Century Gothic" w:hAnsi="Century Gothic"/>
          <w:b/>
          <w:sz w:val="28"/>
          <w:szCs w:val="28"/>
        </w:rPr>
        <w:t xml:space="preserve">PURCHASE </w:t>
      </w:r>
      <w:r w:rsidR="000F6B22">
        <w:rPr>
          <w:rFonts w:ascii="Century Gothic" w:hAnsi="Century Gothic"/>
          <w:b/>
          <w:sz w:val="28"/>
          <w:szCs w:val="28"/>
        </w:rPr>
        <w:t>PROPOSAL PROFORMA</w:t>
      </w:r>
    </w:p>
    <w:bookmarkEnd w:id="0"/>
    <w:p w14:paraId="467A330B" w14:textId="37A57A66" w:rsidR="00572F67" w:rsidRDefault="006A7741" w:rsidP="00312C3B">
      <w:pPr>
        <w:spacing w:after="0" w:line="240" w:lineRule="auto"/>
        <w:ind w:right="95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(for </w:t>
      </w:r>
      <w:r w:rsidR="00764569">
        <w:rPr>
          <w:rFonts w:ascii="Century Gothic" w:hAnsi="Century Gothic"/>
          <w:b/>
          <w:sz w:val="24"/>
          <w:szCs w:val="24"/>
        </w:rPr>
        <w:t>DIRECT, L1</w:t>
      </w:r>
      <w:r w:rsidR="0063408C">
        <w:rPr>
          <w:rFonts w:ascii="Century Gothic" w:hAnsi="Century Gothic"/>
          <w:b/>
          <w:sz w:val="24"/>
          <w:szCs w:val="24"/>
        </w:rPr>
        <w:t xml:space="preserve"> </w:t>
      </w:r>
      <w:r>
        <w:rPr>
          <w:rFonts w:ascii="Century Gothic" w:hAnsi="Century Gothic"/>
          <w:b/>
          <w:sz w:val="24"/>
          <w:szCs w:val="24"/>
        </w:rPr>
        <w:t>PROCUREMENT</w:t>
      </w:r>
      <w:r w:rsidR="00764569">
        <w:rPr>
          <w:rFonts w:ascii="Century Gothic" w:hAnsi="Century Gothic"/>
          <w:b/>
          <w:sz w:val="24"/>
          <w:szCs w:val="24"/>
        </w:rPr>
        <w:t xml:space="preserve"> THROUGH GEM PORTAL</w:t>
      </w:r>
      <w:r>
        <w:rPr>
          <w:rFonts w:ascii="Century Gothic" w:hAnsi="Century Gothic"/>
          <w:b/>
          <w:sz w:val="24"/>
          <w:szCs w:val="24"/>
        </w:rPr>
        <w:t>)</w:t>
      </w:r>
    </w:p>
    <w:p w14:paraId="625566E1" w14:textId="5EB85D95" w:rsidR="003D6520" w:rsidRPr="003D6520" w:rsidRDefault="003D6520" w:rsidP="00312C3B">
      <w:pPr>
        <w:spacing w:after="0" w:line="240" w:lineRule="auto"/>
        <w:ind w:right="95"/>
        <w:jc w:val="right"/>
        <w:rPr>
          <w:rFonts w:ascii="Century Gothic" w:hAnsi="Century Gothic"/>
          <w:bCs/>
          <w:i/>
          <w:iCs/>
          <w:sz w:val="24"/>
          <w:szCs w:val="24"/>
        </w:rPr>
      </w:pPr>
      <w:proofErr w:type="spellStart"/>
      <w:r>
        <w:rPr>
          <w:rFonts w:ascii="Century Gothic" w:hAnsi="Century Gothic"/>
          <w:bCs/>
          <w:i/>
          <w:iCs/>
          <w:sz w:val="24"/>
          <w:szCs w:val="24"/>
        </w:rPr>
        <w:t>Doc.No.C&amp;P</w:t>
      </w:r>
      <w:proofErr w:type="spellEnd"/>
      <w:r>
        <w:rPr>
          <w:rFonts w:ascii="Century Gothic" w:hAnsi="Century Gothic"/>
          <w:bCs/>
          <w:i/>
          <w:iCs/>
          <w:sz w:val="24"/>
          <w:szCs w:val="24"/>
        </w:rPr>
        <w:t xml:space="preserve">/PP/001/R0 </w:t>
      </w:r>
      <w:proofErr w:type="spellStart"/>
      <w:r>
        <w:rPr>
          <w:rFonts w:ascii="Century Gothic" w:hAnsi="Century Gothic"/>
          <w:bCs/>
          <w:i/>
          <w:iCs/>
          <w:sz w:val="24"/>
          <w:szCs w:val="24"/>
        </w:rPr>
        <w:t>dt.</w:t>
      </w:r>
      <w:proofErr w:type="spellEnd"/>
      <w:r>
        <w:rPr>
          <w:rFonts w:ascii="Century Gothic" w:hAnsi="Century Gothic"/>
          <w:bCs/>
          <w:i/>
          <w:iCs/>
          <w:sz w:val="24"/>
          <w:szCs w:val="24"/>
        </w:rPr>
        <w:t xml:space="preserve"> 03.05.2024</w:t>
      </w:r>
    </w:p>
    <w:p w14:paraId="4440906C" w14:textId="77777777" w:rsidR="00D13133" w:rsidRDefault="00D13133" w:rsidP="00312C3B">
      <w:pPr>
        <w:spacing w:line="240" w:lineRule="auto"/>
        <w:ind w:right="95"/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693" w:tblpY="-7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25935" w14:paraId="3280A498" w14:textId="77777777" w:rsidTr="0021588E">
        <w:tc>
          <w:tcPr>
            <w:tcW w:w="397" w:type="dxa"/>
          </w:tcPr>
          <w:p w14:paraId="5904F9A6" w14:textId="77777777" w:rsidR="00D25935" w:rsidRDefault="00D25935" w:rsidP="00312C3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2EEA282D" w14:textId="77777777" w:rsidR="00D25935" w:rsidRDefault="00D25935" w:rsidP="00312C3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68141C23" w14:textId="77777777" w:rsidR="00D25935" w:rsidRDefault="00D25935" w:rsidP="00312C3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66886A17" w14:textId="77777777" w:rsidR="00D25935" w:rsidRDefault="00D25935" w:rsidP="00312C3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1A5AEC78" w14:textId="77777777" w:rsidR="00D25935" w:rsidRDefault="00D25935" w:rsidP="00312C3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2D2E7197" w14:textId="77777777" w:rsidR="00D25935" w:rsidRDefault="00D25935" w:rsidP="00312C3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69C877F5" w14:textId="77777777" w:rsidR="00D25935" w:rsidRDefault="00D25935" w:rsidP="00312C3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397" w:type="dxa"/>
          </w:tcPr>
          <w:p w14:paraId="4AAEE47E" w14:textId="77777777" w:rsidR="00D25935" w:rsidRDefault="00D25935" w:rsidP="00312C3B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14:paraId="0C372780" w14:textId="258F8D1E" w:rsidR="006409E9" w:rsidRDefault="0021588E" w:rsidP="00312C3B">
      <w:pPr>
        <w:spacing w:line="240" w:lineRule="auto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                                                                           </w:t>
      </w:r>
      <w:r w:rsidR="00D25935" w:rsidRPr="0021588E">
        <w:rPr>
          <w:rFonts w:ascii="Century Gothic" w:hAnsi="Century Gothic"/>
          <w:sz w:val="24"/>
          <w:szCs w:val="24"/>
        </w:rPr>
        <w:t>D</w:t>
      </w:r>
      <w:r>
        <w:rPr>
          <w:rFonts w:ascii="Century Gothic" w:hAnsi="Century Gothic"/>
          <w:sz w:val="24"/>
          <w:szCs w:val="24"/>
        </w:rPr>
        <w:t>ate</w:t>
      </w:r>
      <w:r w:rsidR="00D25935">
        <w:rPr>
          <w:rFonts w:ascii="Century Gothic" w:hAnsi="Century Gothic"/>
          <w:b/>
          <w:sz w:val="24"/>
          <w:szCs w:val="24"/>
        </w:rPr>
        <w:t>:</w:t>
      </w:r>
      <w:r>
        <w:rPr>
          <w:rFonts w:ascii="Century Gothic" w:hAnsi="Century Gothic"/>
          <w:b/>
          <w:sz w:val="24"/>
          <w:szCs w:val="24"/>
        </w:rPr>
        <w:t xml:space="preserve">     </w:t>
      </w:r>
    </w:p>
    <w:tbl>
      <w:tblPr>
        <w:tblStyle w:val="TableGrid"/>
        <w:tblW w:w="1019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69"/>
        <w:gridCol w:w="3967"/>
        <w:gridCol w:w="283"/>
        <w:gridCol w:w="2695"/>
        <w:gridCol w:w="2683"/>
      </w:tblGrid>
      <w:tr w:rsidR="003E69B7" w:rsidRPr="00D25935" w14:paraId="6653C9D3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3AF30988" w14:textId="38AE2568" w:rsidR="0020023E" w:rsidRPr="005D36DA" w:rsidRDefault="0020023E" w:rsidP="005D36DA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18C16A72" w14:textId="77777777" w:rsidR="0020023E" w:rsidRPr="00D61E13" w:rsidRDefault="00CC42EF" w:rsidP="00CC42EF">
            <w:pPr>
              <w:rPr>
                <w:rFonts w:ascii="Century Gothic" w:hAnsi="Century Gothic"/>
                <w:b/>
              </w:rPr>
            </w:pPr>
            <w:r w:rsidRPr="00D61E13">
              <w:rPr>
                <w:rFonts w:ascii="Century Gothic" w:hAnsi="Century Gothic"/>
                <w:b/>
              </w:rPr>
              <w:t xml:space="preserve">INDENTING </w:t>
            </w:r>
            <w:r w:rsidR="0020023E" w:rsidRPr="00D61E13">
              <w:rPr>
                <w:rFonts w:ascii="Century Gothic" w:hAnsi="Century Gothic"/>
                <w:b/>
              </w:rPr>
              <w:t xml:space="preserve">DIVISION 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1D4831" w14:textId="77777777" w:rsidR="0020023E" w:rsidRPr="00D25935" w:rsidRDefault="0020023E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31676328" w14:textId="77777777" w:rsidR="0020023E" w:rsidRPr="00D25935" w:rsidRDefault="0020023E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13133" w:rsidRPr="00D25935" w14:paraId="3FC6F31B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262853B3" w14:textId="51536322" w:rsidR="005D36DA" w:rsidRPr="005D36DA" w:rsidRDefault="005D36DA" w:rsidP="005D36DA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741FC9AC" w14:textId="55F3F1B4" w:rsidR="005D36DA" w:rsidRPr="005D36DA" w:rsidRDefault="005D36DA" w:rsidP="00CC42EF">
            <w:pPr>
              <w:rPr>
                <w:rFonts w:ascii="Century Gothic" w:hAnsi="Century Gothic"/>
                <w:b/>
              </w:rPr>
            </w:pPr>
            <w:r w:rsidRPr="005D36DA">
              <w:rPr>
                <w:rFonts w:ascii="Century Gothic" w:hAnsi="Century Gothic"/>
                <w:b/>
              </w:rPr>
              <w:t>MATERIALS DETAILS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88CEEA" w14:textId="77777777" w:rsidR="005D36DA" w:rsidRPr="00D25935" w:rsidRDefault="005D36DA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55768B32" w14:textId="77777777" w:rsidR="005D36DA" w:rsidRPr="00D25935" w:rsidRDefault="005D36DA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5470D0" w:rsidRPr="00D25935" w14:paraId="4E95D0B9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02E7EACF" w14:textId="77777777" w:rsidR="000F6B22" w:rsidRPr="00F97346" w:rsidRDefault="000F6B22" w:rsidP="0021588E">
            <w:pPr>
              <w:pStyle w:val="ListParagraph"/>
              <w:numPr>
                <w:ilvl w:val="0"/>
                <w:numId w:val="2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1627CC36" w14:textId="3C1002F6" w:rsidR="000F6B22" w:rsidRDefault="000F6B22" w:rsidP="00CC42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 of the material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D1F243" w14:textId="77777777" w:rsidR="000F6B22" w:rsidRPr="00D25935" w:rsidRDefault="000F6B22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447B921" w14:textId="77777777" w:rsidR="000F6B22" w:rsidRPr="00D25935" w:rsidRDefault="000F6B22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5470D0" w:rsidRPr="00D25935" w14:paraId="5B0C5A26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3DC8A292" w14:textId="77777777" w:rsidR="000F6B22" w:rsidRPr="00F97346" w:rsidRDefault="000F6B22" w:rsidP="0021588E">
            <w:pPr>
              <w:pStyle w:val="ListParagraph"/>
              <w:numPr>
                <w:ilvl w:val="0"/>
                <w:numId w:val="2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55118E49" w14:textId="4D4E7481" w:rsidR="000F6B22" w:rsidRPr="00D25935" w:rsidRDefault="000F6B22" w:rsidP="00CC42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Material Code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8C58CB" w14:textId="77777777" w:rsidR="000F6B22" w:rsidRPr="00D25935" w:rsidRDefault="000F6B22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2C372828" w14:textId="77777777" w:rsidR="000F6B22" w:rsidRPr="00D25935" w:rsidRDefault="000F6B22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6307411C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0668AB1D" w14:textId="77777777" w:rsidR="005D36DA" w:rsidRPr="00F97346" w:rsidRDefault="005D36DA" w:rsidP="0021588E">
            <w:pPr>
              <w:pStyle w:val="ListParagraph"/>
              <w:numPr>
                <w:ilvl w:val="0"/>
                <w:numId w:val="2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78793366" w14:textId="057F6B94" w:rsidR="005D36DA" w:rsidRPr="00D25935" w:rsidRDefault="005D36DA" w:rsidP="00CC42EF">
            <w:pPr>
              <w:rPr>
                <w:rFonts w:ascii="Century Gothic" w:hAnsi="Century Gothic"/>
              </w:rPr>
            </w:pPr>
            <w:r w:rsidRPr="00D25935">
              <w:rPr>
                <w:rFonts w:ascii="Century Gothic" w:hAnsi="Century Gothic"/>
              </w:rPr>
              <w:t>Unit of Measurement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5D547" w14:textId="77777777" w:rsidR="005D36DA" w:rsidRPr="00D25935" w:rsidRDefault="005D36DA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6C3DD22" w14:textId="77777777" w:rsidR="005D36DA" w:rsidRPr="00D25935" w:rsidRDefault="005D36DA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601F6D7F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62B4068F" w14:textId="77777777" w:rsidR="007A5021" w:rsidRPr="00F97346" w:rsidRDefault="007A5021" w:rsidP="0021588E">
            <w:pPr>
              <w:pStyle w:val="ListParagraph"/>
              <w:numPr>
                <w:ilvl w:val="0"/>
                <w:numId w:val="2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2F6C8A9F" w14:textId="55D84A3C" w:rsidR="007A5021" w:rsidRPr="00D25935" w:rsidRDefault="007A5021" w:rsidP="00CC42EF">
            <w:pPr>
              <w:rPr>
                <w:rFonts w:ascii="Century Gothic" w:hAnsi="Century Gothic"/>
              </w:rPr>
            </w:pPr>
            <w:r w:rsidRPr="00D25935">
              <w:rPr>
                <w:rFonts w:ascii="Century Gothic" w:hAnsi="Century Gothic"/>
              </w:rPr>
              <w:t>Population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ECB1A" w14:textId="77777777" w:rsidR="007A5021" w:rsidRPr="00D25935" w:rsidRDefault="007A5021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3C92A061" w14:textId="77777777" w:rsidR="007A5021" w:rsidRPr="00D25935" w:rsidRDefault="007A5021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7FF13F02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1CAE5C4B" w14:textId="5A783103" w:rsidR="00D61E13" w:rsidRPr="00F97346" w:rsidRDefault="00D61E13" w:rsidP="00D61E13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68176CE7" w14:textId="3C7F0651" w:rsidR="00D61E13" w:rsidRPr="00D61E13" w:rsidRDefault="00D61E13" w:rsidP="00CC42EF">
            <w:pPr>
              <w:rPr>
                <w:rFonts w:ascii="Century Gothic" w:hAnsi="Century Gothic"/>
                <w:b/>
              </w:rPr>
            </w:pPr>
            <w:r w:rsidRPr="00D61E13">
              <w:rPr>
                <w:rFonts w:ascii="Century Gothic" w:hAnsi="Century Gothic"/>
                <w:b/>
              </w:rPr>
              <w:t>STOCK DETAILS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9DAF1" w14:textId="77777777" w:rsidR="00D61E13" w:rsidRPr="00D25935" w:rsidRDefault="00D61E13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26114783" w14:textId="77777777" w:rsidR="00D61E13" w:rsidRPr="00D25935" w:rsidRDefault="00D61E13" w:rsidP="00CC42EF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207D0B5D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3917E846" w14:textId="77777777" w:rsidR="007A5021" w:rsidRPr="00F97346" w:rsidRDefault="007A5021" w:rsidP="00D61E13">
            <w:pPr>
              <w:pStyle w:val="ListParagraph"/>
              <w:numPr>
                <w:ilvl w:val="0"/>
                <w:numId w:val="5"/>
              </w:numPr>
              <w:ind w:left="0" w:firstLine="38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653685DE" w14:textId="65A4C3AD" w:rsidR="007A5021" w:rsidRPr="00D25935" w:rsidRDefault="007A5021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Stock at Site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A7794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78A521D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085151B3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21D5A8EE" w14:textId="77777777" w:rsidR="007A5021" w:rsidRPr="00F97346" w:rsidRDefault="007A5021" w:rsidP="00D61E13">
            <w:pPr>
              <w:pStyle w:val="ListParagraph"/>
              <w:numPr>
                <w:ilvl w:val="0"/>
                <w:numId w:val="5"/>
              </w:numPr>
              <w:ind w:left="38" w:firstLine="19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1CBE869C" w14:textId="7CF3A28E" w:rsidR="007A5021" w:rsidRPr="00D25935" w:rsidRDefault="007A5021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Stock at Stores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3EC179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6911EA5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5A89" w:rsidRPr="00D25935" w14:paraId="77D9C1E1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50BB69EA" w14:textId="77777777" w:rsidR="00D61E13" w:rsidRPr="00F97346" w:rsidRDefault="00D61E13" w:rsidP="00D61E13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40DB213B" w14:textId="44E6BBA1" w:rsidR="00D61E13" w:rsidRPr="00D61E13" w:rsidRDefault="00D61E13" w:rsidP="00D61E13">
            <w:pPr>
              <w:pStyle w:val="ListParagraph"/>
              <w:ind w:left="0"/>
              <w:jc w:val="both"/>
              <w:rPr>
                <w:rFonts w:ascii="Century Gothic" w:hAnsi="Century Gothic"/>
                <w:b/>
              </w:rPr>
            </w:pPr>
            <w:r w:rsidRPr="00D61E13">
              <w:rPr>
                <w:rFonts w:ascii="Century Gothic" w:hAnsi="Century Gothic"/>
                <w:b/>
              </w:rPr>
              <w:t>PENDING Indent/PR/Enquiry/PO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96AB80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7C3E29E2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281DCA78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4B191729" w14:textId="77777777" w:rsidR="007A5021" w:rsidRPr="00F97346" w:rsidRDefault="007A5021" w:rsidP="00D61E13">
            <w:pPr>
              <w:pStyle w:val="ListParagraph"/>
              <w:numPr>
                <w:ilvl w:val="0"/>
                <w:numId w:val="6"/>
              </w:numPr>
              <w:ind w:hanging="682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1C9A5EFB" w14:textId="29B01234" w:rsidR="007A5021" w:rsidRPr="00D25935" w:rsidRDefault="007A5021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Pending Indent/PR and </w:t>
            </w:r>
            <w:proofErr w:type="spellStart"/>
            <w:r>
              <w:rPr>
                <w:rFonts w:ascii="Century Gothic" w:hAnsi="Century Gothic"/>
              </w:rPr>
              <w:t>Qty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3A89EA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5C9C1D5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3BF9673D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2672C038" w14:textId="77777777" w:rsidR="007A5021" w:rsidRPr="00F97346" w:rsidRDefault="007A5021" w:rsidP="00D61E13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1B44F126" w14:textId="62B72F07" w:rsidR="007A5021" w:rsidRPr="00D25935" w:rsidRDefault="007A5021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Pending Enquiry and </w:t>
            </w:r>
            <w:proofErr w:type="spellStart"/>
            <w:r>
              <w:rPr>
                <w:rFonts w:ascii="Century Gothic" w:hAnsi="Century Gothic"/>
              </w:rPr>
              <w:t>Qty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3F940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ADDD9CD" w14:textId="77777777" w:rsidR="007A5021" w:rsidRPr="00D25935" w:rsidRDefault="007A5021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DC673A" w:rsidRPr="00D25935" w14:paraId="48434491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6981A8EC" w14:textId="77777777" w:rsidR="00D8765C" w:rsidRPr="00F97346" w:rsidRDefault="00D8765C" w:rsidP="00D61E13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2E3A5275" w14:textId="28940D17" w:rsidR="00D8765C" w:rsidRDefault="00D8765C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Pending PO and </w:t>
            </w:r>
            <w:proofErr w:type="spellStart"/>
            <w:r>
              <w:rPr>
                <w:rFonts w:ascii="Century Gothic" w:hAnsi="Century Gothic"/>
              </w:rPr>
              <w:t>Qty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A1B7D" w14:textId="77777777" w:rsidR="00D8765C" w:rsidRPr="00D25935" w:rsidRDefault="00D8765C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7D7D3ABC" w14:textId="77777777" w:rsidR="00D8765C" w:rsidRPr="00D25935" w:rsidRDefault="00D8765C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A116A7" w:rsidRPr="00D25935" w14:paraId="780BAE3A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1385259F" w14:textId="77777777" w:rsidR="00A116A7" w:rsidRPr="00F97346" w:rsidRDefault="00A116A7" w:rsidP="00D61E13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7600FEAE" w14:textId="52C6F443" w:rsidR="00A116A7" w:rsidRDefault="00A116A7" w:rsidP="007A502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Previous PO details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742B6" w14:textId="77777777" w:rsidR="00A116A7" w:rsidRPr="00D25935" w:rsidRDefault="00A116A7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2607105E" w14:textId="77777777" w:rsidR="00A116A7" w:rsidRPr="00D25935" w:rsidRDefault="00A116A7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5A89" w:rsidRPr="00D25935" w14:paraId="415D46FB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5CA4E357" w14:textId="77777777" w:rsidR="00D61E13" w:rsidRPr="00F97346" w:rsidRDefault="00D61E13" w:rsidP="00D61E13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3CB26ED3" w14:textId="425D443E" w:rsidR="00D61E13" w:rsidRPr="00D61E13" w:rsidRDefault="00D61E13" w:rsidP="007A5021">
            <w:pPr>
              <w:rPr>
                <w:rFonts w:ascii="Century Gothic" w:hAnsi="Century Gothic"/>
                <w:b/>
              </w:rPr>
            </w:pPr>
            <w:r w:rsidRPr="00D61E13">
              <w:rPr>
                <w:rFonts w:ascii="Century Gothic" w:hAnsi="Century Gothic"/>
                <w:b/>
              </w:rPr>
              <w:t>CONSUMPTION PATTERN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5275E9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A823CA5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4EBB" w:rsidRPr="00D25935" w14:paraId="2B7A8C00" w14:textId="77777777" w:rsidTr="002528D9">
        <w:trPr>
          <w:trHeight w:val="510"/>
        </w:trPr>
        <w:tc>
          <w:tcPr>
            <w:tcW w:w="569" w:type="dxa"/>
            <w:vMerge w:val="restart"/>
            <w:vAlign w:val="center"/>
          </w:tcPr>
          <w:p w14:paraId="74221B1D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vMerge w:val="restart"/>
            <w:tcBorders>
              <w:right w:val="single" w:sz="4" w:space="0" w:color="auto"/>
            </w:tcBorders>
            <w:vAlign w:val="center"/>
          </w:tcPr>
          <w:p w14:paraId="6EA935D3" w14:textId="77777777" w:rsidR="00D61E13" w:rsidRPr="00D25935" w:rsidRDefault="00D61E13" w:rsidP="00D61E13">
            <w:pPr>
              <w:rPr>
                <w:rFonts w:ascii="Century Gothic" w:hAnsi="Century Gothic"/>
              </w:rPr>
            </w:pPr>
            <w:r w:rsidRPr="00D25935">
              <w:rPr>
                <w:rFonts w:ascii="Century Gothic" w:hAnsi="Century Gothic"/>
              </w:rPr>
              <w:t>Consumption pattern for the</w:t>
            </w:r>
          </w:p>
          <w:p w14:paraId="5B770D10" w14:textId="6C82D3DD" w:rsidR="00D61E13" w:rsidRDefault="00D61E13" w:rsidP="00D61E13">
            <w:pPr>
              <w:rPr>
                <w:rFonts w:ascii="Century Gothic" w:hAnsi="Century Gothic"/>
              </w:rPr>
            </w:pPr>
            <w:r w:rsidRPr="00D25935">
              <w:rPr>
                <w:rFonts w:ascii="Century Gothic" w:hAnsi="Century Gothic"/>
              </w:rPr>
              <w:t>Past five Years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13CFD73" w14:textId="77777777" w:rsidR="00D61E13" w:rsidRPr="00D25935" w:rsidRDefault="00D61E13" w:rsidP="00D61E13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</w:tcPr>
          <w:p w14:paraId="247EDE10" w14:textId="7A70E3BB" w:rsidR="00D61E13" w:rsidRPr="00D61E13" w:rsidRDefault="00D61E13" w:rsidP="00D61E13">
            <w:pPr>
              <w:jc w:val="center"/>
              <w:rPr>
                <w:rFonts w:ascii="Century Gothic" w:hAnsi="Century Gothic"/>
                <w:b/>
              </w:rPr>
            </w:pPr>
            <w:r w:rsidRPr="00D61E13">
              <w:rPr>
                <w:rFonts w:ascii="Century Gothic" w:hAnsi="Century Gothic"/>
                <w:b/>
              </w:rPr>
              <w:t>Year.</w:t>
            </w: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BD3E811" w14:textId="00354891" w:rsidR="00D61E13" w:rsidRPr="00D61E13" w:rsidRDefault="00F8323B" w:rsidP="00D61E1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Quantity Consumed</w:t>
            </w:r>
          </w:p>
        </w:tc>
      </w:tr>
      <w:tr w:rsidR="00E24EBB" w:rsidRPr="00D25935" w14:paraId="6EDAE72E" w14:textId="77777777" w:rsidTr="002528D9">
        <w:trPr>
          <w:trHeight w:val="624"/>
        </w:trPr>
        <w:tc>
          <w:tcPr>
            <w:tcW w:w="569" w:type="dxa"/>
            <w:vMerge/>
            <w:vAlign w:val="center"/>
          </w:tcPr>
          <w:p w14:paraId="16612614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vMerge/>
            <w:tcBorders>
              <w:right w:val="single" w:sz="4" w:space="0" w:color="auto"/>
            </w:tcBorders>
            <w:vAlign w:val="center"/>
          </w:tcPr>
          <w:p w14:paraId="27FE77D4" w14:textId="77777777" w:rsidR="00D61E13" w:rsidRDefault="00D61E13" w:rsidP="007A5021">
            <w:pPr>
              <w:rPr>
                <w:rFonts w:ascii="Century Gothic" w:hAnsi="Century Gothic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7BA15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14558690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22BAAF11" w14:textId="5A29E57B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4EBB" w:rsidRPr="00D25935" w14:paraId="42993A0D" w14:textId="77777777" w:rsidTr="002528D9">
        <w:trPr>
          <w:trHeight w:val="624"/>
        </w:trPr>
        <w:tc>
          <w:tcPr>
            <w:tcW w:w="569" w:type="dxa"/>
            <w:vMerge/>
            <w:vAlign w:val="center"/>
          </w:tcPr>
          <w:p w14:paraId="5EE3BEE7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vMerge/>
            <w:tcBorders>
              <w:right w:val="single" w:sz="4" w:space="0" w:color="auto"/>
            </w:tcBorders>
            <w:vAlign w:val="center"/>
          </w:tcPr>
          <w:p w14:paraId="621F9309" w14:textId="77777777" w:rsidR="00D61E13" w:rsidRDefault="00D61E13" w:rsidP="007A5021">
            <w:pPr>
              <w:rPr>
                <w:rFonts w:ascii="Century Gothic" w:hAnsi="Century Gothic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58A86B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405A1023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1441FD25" w14:textId="0EB4923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4EBB" w:rsidRPr="00D25935" w14:paraId="3BDBBCEC" w14:textId="77777777" w:rsidTr="002528D9">
        <w:trPr>
          <w:trHeight w:val="624"/>
        </w:trPr>
        <w:tc>
          <w:tcPr>
            <w:tcW w:w="569" w:type="dxa"/>
            <w:vMerge/>
            <w:vAlign w:val="center"/>
          </w:tcPr>
          <w:p w14:paraId="0B54D4C0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vMerge/>
            <w:tcBorders>
              <w:right w:val="single" w:sz="4" w:space="0" w:color="auto"/>
            </w:tcBorders>
            <w:vAlign w:val="center"/>
          </w:tcPr>
          <w:p w14:paraId="50727CED" w14:textId="77777777" w:rsidR="00D61E13" w:rsidRDefault="00D61E13" w:rsidP="007A5021">
            <w:pPr>
              <w:rPr>
                <w:rFonts w:ascii="Century Gothic" w:hAnsi="Century Gothic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F6C42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343FCD52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5D5909D9" w14:textId="5B24F7B5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4EBB" w:rsidRPr="00D25935" w14:paraId="29F7B27E" w14:textId="77777777" w:rsidTr="002528D9">
        <w:trPr>
          <w:trHeight w:val="624"/>
        </w:trPr>
        <w:tc>
          <w:tcPr>
            <w:tcW w:w="569" w:type="dxa"/>
            <w:vMerge/>
            <w:vAlign w:val="center"/>
          </w:tcPr>
          <w:p w14:paraId="77EB8392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vMerge/>
            <w:tcBorders>
              <w:right w:val="single" w:sz="4" w:space="0" w:color="auto"/>
            </w:tcBorders>
            <w:vAlign w:val="center"/>
          </w:tcPr>
          <w:p w14:paraId="21237014" w14:textId="77777777" w:rsidR="00D61E13" w:rsidRDefault="00D61E13" w:rsidP="007A5021">
            <w:pPr>
              <w:rPr>
                <w:rFonts w:ascii="Century Gothic" w:hAnsi="Century Gothic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8F6271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2FE76546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02C06537" w14:textId="46BBDBAD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E24EBB" w:rsidRPr="00D25935" w14:paraId="2D71638D" w14:textId="77777777" w:rsidTr="002528D9">
        <w:trPr>
          <w:trHeight w:val="624"/>
        </w:trPr>
        <w:tc>
          <w:tcPr>
            <w:tcW w:w="569" w:type="dxa"/>
            <w:vMerge/>
            <w:vAlign w:val="center"/>
          </w:tcPr>
          <w:p w14:paraId="1E875881" w14:textId="77777777" w:rsidR="00D61E13" w:rsidRPr="00F97346" w:rsidRDefault="00D61E13" w:rsidP="00D61E13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vMerge/>
            <w:tcBorders>
              <w:right w:val="single" w:sz="4" w:space="0" w:color="auto"/>
            </w:tcBorders>
            <w:vAlign w:val="center"/>
          </w:tcPr>
          <w:p w14:paraId="495B1757" w14:textId="77777777" w:rsidR="00D61E13" w:rsidRDefault="00D61E13" w:rsidP="007A5021">
            <w:pPr>
              <w:rPr>
                <w:rFonts w:ascii="Century Gothic" w:hAnsi="Century Gothic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9B5393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6D17D7BA" w14:textId="77777777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4FE2089E" w14:textId="0AF4D18D" w:rsidR="00D61E13" w:rsidRPr="00D25935" w:rsidRDefault="00D61E1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5470D0" w:rsidRPr="00D25935" w14:paraId="7FD10282" w14:textId="77777777" w:rsidTr="002528D9">
        <w:trPr>
          <w:trHeight w:val="647"/>
        </w:trPr>
        <w:tc>
          <w:tcPr>
            <w:tcW w:w="569" w:type="dxa"/>
            <w:vAlign w:val="center"/>
          </w:tcPr>
          <w:p w14:paraId="4B081119" w14:textId="77777777" w:rsidR="005470D0" w:rsidRPr="00F97346" w:rsidRDefault="005470D0" w:rsidP="003E69B7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0F84DB81" w14:textId="7BEC2CC4" w:rsidR="005470D0" w:rsidRPr="00CA71D2" w:rsidRDefault="005470D0" w:rsidP="007A5021">
            <w:pPr>
              <w:rPr>
                <w:rFonts w:ascii="Century Gothic" w:hAnsi="Century Gothic"/>
                <w:b/>
              </w:rPr>
            </w:pPr>
            <w:r w:rsidRPr="00CA71D2">
              <w:rPr>
                <w:rFonts w:ascii="Century Gothic" w:hAnsi="Century Gothic"/>
                <w:b/>
              </w:rPr>
              <w:t>QUANTITY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59B28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45C3B3AE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5470D0" w:rsidRPr="00D25935" w14:paraId="202E33BE" w14:textId="77777777" w:rsidTr="002528D9">
        <w:trPr>
          <w:trHeight w:val="647"/>
        </w:trPr>
        <w:tc>
          <w:tcPr>
            <w:tcW w:w="569" w:type="dxa"/>
            <w:vAlign w:val="center"/>
          </w:tcPr>
          <w:p w14:paraId="2876DE7D" w14:textId="77777777" w:rsidR="005470D0" w:rsidRPr="00F97346" w:rsidRDefault="005470D0" w:rsidP="003E69B7">
            <w:pPr>
              <w:pStyle w:val="ListParagraph"/>
              <w:numPr>
                <w:ilvl w:val="0"/>
                <w:numId w:val="9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73422990" w14:textId="36FC5723" w:rsidR="005470D0" w:rsidRPr="00CA71D2" w:rsidRDefault="005470D0" w:rsidP="007A5021">
            <w:pPr>
              <w:rPr>
                <w:rFonts w:ascii="Century Gothic" w:hAnsi="Century Gothic"/>
              </w:rPr>
            </w:pPr>
            <w:r w:rsidRPr="00CA71D2">
              <w:rPr>
                <w:rFonts w:ascii="Century Gothic" w:hAnsi="Century Gothic"/>
              </w:rPr>
              <w:t>Quantity</w:t>
            </w:r>
            <w:r w:rsidR="000C6043">
              <w:rPr>
                <w:rFonts w:ascii="Century Gothic" w:hAnsi="Century Gothic"/>
              </w:rPr>
              <w:t xml:space="preserve"> to be purchased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417671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669B415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0C6043" w:rsidRPr="00D25935" w14:paraId="0B1710B7" w14:textId="77777777" w:rsidTr="002528D9">
        <w:trPr>
          <w:trHeight w:val="647"/>
        </w:trPr>
        <w:tc>
          <w:tcPr>
            <w:tcW w:w="569" w:type="dxa"/>
            <w:vAlign w:val="center"/>
          </w:tcPr>
          <w:p w14:paraId="74C93FC0" w14:textId="77777777" w:rsidR="000C6043" w:rsidRPr="00F97346" w:rsidRDefault="000C6043" w:rsidP="003E69B7">
            <w:pPr>
              <w:pStyle w:val="ListParagraph"/>
              <w:numPr>
                <w:ilvl w:val="0"/>
                <w:numId w:val="9"/>
              </w:numPr>
              <w:ind w:hanging="720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679F90AC" w14:textId="35957E11" w:rsidR="000C6043" w:rsidRPr="007B37FE" w:rsidRDefault="000C6043" w:rsidP="007A5021">
            <w:pPr>
              <w:rPr>
                <w:rFonts w:ascii="Century Gothic" w:hAnsi="Century Gothic"/>
                <w:color w:val="000000" w:themeColor="text1"/>
              </w:rPr>
            </w:pPr>
            <w:r w:rsidRPr="007B37FE">
              <w:rPr>
                <w:rFonts w:ascii="Century Gothic" w:hAnsi="Century Gothic"/>
                <w:color w:val="000000" w:themeColor="text1"/>
              </w:rPr>
              <w:t>Expected life of the item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E1449" w14:textId="77777777" w:rsidR="000C6043" w:rsidRPr="00D25935" w:rsidRDefault="000C604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52DD33BF" w14:textId="77777777" w:rsidR="000C6043" w:rsidRPr="00D25935" w:rsidRDefault="000C6043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5470D0" w:rsidRPr="00D25935" w14:paraId="54FC1865" w14:textId="77777777" w:rsidTr="002528D9">
        <w:trPr>
          <w:trHeight w:val="1275"/>
        </w:trPr>
        <w:tc>
          <w:tcPr>
            <w:tcW w:w="569" w:type="dxa"/>
            <w:vAlign w:val="center"/>
          </w:tcPr>
          <w:p w14:paraId="49E19C97" w14:textId="77777777" w:rsidR="005470D0" w:rsidRPr="00F97346" w:rsidRDefault="005470D0" w:rsidP="003E69B7">
            <w:pPr>
              <w:pStyle w:val="ListParagraph"/>
              <w:numPr>
                <w:ilvl w:val="0"/>
                <w:numId w:val="9"/>
              </w:numPr>
              <w:ind w:left="414" w:hanging="357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4CD6E0BF" w14:textId="77777777" w:rsidR="005470D0" w:rsidRPr="000C6043" w:rsidRDefault="005470D0" w:rsidP="000C6043">
            <w:pPr>
              <w:spacing w:before="120"/>
              <w:rPr>
                <w:rFonts w:ascii="Century Gothic" w:hAnsi="Century Gothic"/>
                <w:b/>
              </w:rPr>
            </w:pPr>
            <w:r w:rsidRPr="000C6043">
              <w:rPr>
                <w:rFonts w:ascii="Century Gothic" w:hAnsi="Century Gothic"/>
                <w:b/>
              </w:rPr>
              <w:t>Justification for Indented Qty.</w:t>
            </w:r>
          </w:p>
          <w:p w14:paraId="6F411F0D" w14:textId="5531768B" w:rsidR="005470D0" w:rsidRPr="000C6043" w:rsidRDefault="005470D0" w:rsidP="000C6043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  <w:r w:rsidRPr="000C6043">
              <w:rPr>
                <w:rFonts w:ascii="Century Gothic" w:hAnsi="Century Gothic"/>
                <w:sz w:val="18"/>
                <w:szCs w:val="18"/>
              </w:rPr>
              <w:t>(Separate sheet may be attached, if required)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11987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324D27C9" w14:textId="77777777" w:rsidR="005470D0" w:rsidRPr="00D25935" w:rsidRDefault="005470D0" w:rsidP="007A5021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26D01B96" w14:textId="77777777" w:rsidTr="002528D9">
        <w:trPr>
          <w:trHeight w:val="658"/>
        </w:trPr>
        <w:tc>
          <w:tcPr>
            <w:tcW w:w="569" w:type="dxa"/>
            <w:vAlign w:val="center"/>
          </w:tcPr>
          <w:p w14:paraId="08B3192B" w14:textId="42F4A5F9" w:rsidR="007978D7" w:rsidRPr="00F97346" w:rsidRDefault="007978D7" w:rsidP="007978D7">
            <w:pPr>
              <w:pStyle w:val="ListParagraph"/>
              <w:numPr>
                <w:ilvl w:val="0"/>
                <w:numId w:val="4"/>
              </w:numPr>
              <w:ind w:hanging="682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59D92A5C" w14:textId="7B754328" w:rsidR="007978D7" w:rsidRPr="000C6043" w:rsidRDefault="007978D7" w:rsidP="007978D7">
            <w:pPr>
              <w:spacing w:before="12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DELIVERY SCHEDULE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3AFDE9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212BC277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57AFF65C" w14:textId="77777777" w:rsidTr="00CC1968">
        <w:trPr>
          <w:trHeight w:val="890"/>
        </w:trPr>
        <w:tc>
          <w:tcPr>
            <w:tcW w:w="569" w:type="dxa"/>
            <w:vAlign w:val="center"/>
          </w:tcPr>
          <w:p w14:paraId="11B2461E" w14:textId="32E168A0" w:rsidR="007978D7" w:rsidRPr="00F97346" w:rsidRDefault="007978D7" w:rsidP="007978D7">
            <w:pPr>
              <w:pStyle w:val="ListParagraph"/>
              <w:numPr>
                <w:ilvl w:val="0"/>
                <w:numId w:val="14"/>
              </w:numPr>
              <w:ind w:left="464" w:hanging="426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7F38A9A9" w14:textId="2D65393D" w:rsidR="007978D7" w:rsidRPr="00A63C40" w:rsidRDefault="007978D7" w:rsidP="007978D7">
            <w:pPr>
              <w:spacing w:before="120"/>
              <w:rPr>
                <w:rFonts w:ascii="Century Gothic" w:hAnsi="Century Gothic"/>
              </w:rPr>
            </w:pPr>
            <w:r w:rsidRPr="00A63C40">
              <w:rPr>
                <w:rFonts w:ascii="Century Gothic" w:hAnsi="Century Gothic"/>
              </w:rPr>
              <w:t>Probable date by which the material is required.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D1C483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796CA2D6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02BC3D24" w14:textId="77777777" w:rsidTr="00CC1968">
        <w:trPr>
          <w:trHeight w:val="928"/>
        </w:trPr>
        <w:tc>
          <w:tcPr>
            <w:tcW w:w="569" w:type="dxa"/>
            <w:vAlign w:val="center"/>
          </w:tcPr>
          <w:p w14:paraId="0C32BCE8" w14:textId="77777777" w:rsidR="007978D7" w:rsidRPr="00F97346" w:rsidRDefault="007978D7" w:rsidP="007978D7">
            <w:pPr>
              <w:pStyle w:val="ListParagraph"/>
              <w:numPr>
                <w:ilvl w:val="0"/>
                <w:numId w:val="14"/>
              </w:numPr>
              <w:ind w:left="464" w:hanging="426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1185B779" w14:textId="67A1CF68" w:rsidR="007978D7" w:rsidRPr="00A63C40" w:rsidRDefault="007978D7" w:rsidP="007978D7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Probable date by which the material will be consumed.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DC505B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C03A421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77CCB7D4" w14:textId="77777777" w:rsidTr="00CC1968">
        <w:trPr>
          <w:trHeight w:val="2808"/>
        </w:trPr>
        <w:tc>
          <w:tcPr>
            <w:tcW w:w="569" w:type="dxa"/>
            <w:vAlign w:val="center"/>
          </w:tcPr>
          <w:p w14:paraId="71EC75D5" w14:textId="77777777" w:rsidR="007978D7" w:rsidRPr="00F97346" w:rsidRDefault="007978D7" w:rsidP="007978D7">
            <w:pPr>
              <w:pStyle w:val="ListParagraph"/>
              <w:numPr>
                <w:ilvl w:val="0"/>
                <w:numId w:val="14"/>
              </w:numPr>
              <w:ind w:left="464" w:hanging="426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0732C94A" w14:textId="77777777" w:rsidR="007978D7" w:rsidRDefault="007978D7" w:rsidP="007978D7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Recommended Delivery Schedule (in days)</w:t>
            </w:r>
          </w:p>
          <w:p w14:paraId="3B015211" w14:textId="77777777" w:rsidR="00393727" w:rsidRDefault="00393727" w:rsidP="00B02682">
            <w:pPr>
              <w:spacing w:before="120"/>
              <w:rPr>
                <w:rFonts w:ascii="Century Gothic" w:hAnsi="Century Gothic"/>
              </w:rPr>
            </w:pPr>
            <w:r w:rsidRPr="00393727">
              <w:rPr>
                <w:rFonts w:ascii="Century Gothic" w:hAnsi="Century Gothic"/>
              </w:rPr>
              <w:t>(</w:t>
            </w:r>
            <w:r w:rsidR="00B02682">
              <w:rPr>
                <w:rFonts w:ascii="Century Gothic" w:hAnsi="Century Gothic"/>
              </w:rPr>
              <w:t>15 days by default, if more than 15 days required reason to be provided</w:t>
            </w:r>
            <w:r w:rsidRPr="00393727">
              <w:rPr>
                <w:rFonts w:ascii="Century Gothic" w:hAnsi="Century Gothic"/>
              </w:rPr>
              <w:t>)</w:t>
            </w:r>
          </w:p>
          <w:p w14:paraId="1771591A" w14:textId="3C6E7499" w:rsidR="00C15AD2" w:rsidRPr="00A63C40" w:rsidRDefault="00C15AD2" w:rsidP="00B02682">
            <w:pPr>
              <w:spacing w:before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(EOT without LD will</w:t>
            </w:r>
            <w:r w:rsidR="0095071B">
              <w:rPr>
                <w:rFonts w:ascii="Century Gothic" w:hAnsi="Century Gothic"/>
              </w:rPr>
              <w:t xml:space="preserve"> be issued after expiry of default delivery schedule)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74037F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67B72329" w14:textId="205E4B9A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4E81AB62" w14:textId="77777777" w:rsidTr="00CC1968">
        <w:trPr>
          <w:trHeight w:val="1467"/>
        </w:trPr>
        <w:tc>
          <w:tcPr>
            <w:tcW w:w="569" w:type="dxa"/>
            <w:vAlign w:val="center"/>
          </w:tcPr>
          <w:p w14:paraId="73EE496A" w14:textId="77777777" w:rsidR="007978D7" w:rsidRPr="00F97346" w:rsidRDefault="007978D7" w:rsidP="007978D7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2A6C5135" w14:textId="77777777" w:rsidR="007978D7" w:rsidRDefault="007978D7" w:rsidP="007978D7">
            <w:pPr>
              <w:spacing w:before="120"/>
              <w:rPr>
                <w:rFonts w:ascii="Century Gothic" w:hAnsi="Century Gothic"/>
                <w:b/>
              </w:rPr>
            </w:pPr>
            <w:r w:rsidRPr="00CA71D2">
              <w:rPr>
                <w:rFonts w:ascii="Century Gothic" w:hAnsi="Century Gothic"/>
                <w:b/>
              </w:rPr>
              <w:t>ESTIMATE</w:t>
            </w:r>
            <w:r>
              <w:rPr>
                <w:rFonts w:ascii="Century Gothic" w:hAnsi="Century Gothic"/>
                <w:b/>
              </w:rPr>
              <w:t>.</w:t>
            </w:r>
          </w:p>
          <w:p w14:paraId="178355BB" w14:textId="001C0320" w:rsidR="007978D7" w:rsidRPr="003E28FA" w:rsidRDefault="007978D7" w:rsidP="007978D7">
            <w:pPr>
              <w:spacing w:before="120"/>
              <w:rPr>
                <w:rFonts w:ascii="Century Gothic" w:hAnsi="Century Gothic"/>
                <w:sz w:val="18"/>
                <w:szCs w:val="18"/>
              </w:rPr>
            </w:pPr>
            <w:r w:rsidRPr="003E28FA">
              <w:rPr>
                <w:rFonts w:ascii="Century Gothic" w:hAnsi="Century Gothic"/>
                <w:sz w:val="18"/>
                <w:szCs w:val="18"/>
              </w:rPr>
              <w:t>(Refer clause no.4.2 &amp;4.3 of Purchase manual for guidelines for estimate preparation)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CA1E7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5C5BF2E2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5A960C86" w14:textId="77777777" w:rsidTr="00CC1968">
        <w:trPr>
          <w:trHeight w:val="1402"/>
        </w:trPr>
        <w:tc>
          <w:tcPr>
            <w:tcW w:w="569" w:type="dxa"/>
            <w:vAlign w:val="center"/>
          </w:tcPr>
          <w:p w14:paraId="2B8FAF87" w14:textId="77777777" w:rsidR="007978D7" w:rsidRPr="00F97346" w:rsidRDefault="007978D7" w:rsidP="007978D7">
            <w:pPr>
              <w:pStyle w:val="ListParagraph"/>
              <w:numPr>
                <w:ilvl w:val="0"/>
                <w:numId w:val="10"/>
              </w:numPr>
              <w:ind w:left="322" w:hanging="287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49A20ED1" w14:textId="77777777" w:rsidR="007978D7" w:rsidRPr="00EF33BB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  <w:r w:rsidRPr="00EF33BB">
              <w:rPr>
                <w:rFonts w:ascii="Century Gothic" w:hAnsi="Century Gothic"/>
                <w:b/>
              </w:rPr>
              <w:t>Estimated Cost (</w:t>
            </w:r>
            <w:proofErr w:type="spellStart"/>
            <w:r w:rsidRPr="00EF33BB">
              <w:rPr>
                <w:rFonts w:ascii="Century Gothic" w:hAnsi="Century Gothic"/>
                <w:b/>
              </w:rPr>
              <w:t>Rs</w:t>
            </w:r>
            <w:proofErr w:type="spellEnd"/>
            <w:r w:rsidRPr="00EF33BB">
              <w:rPr>
                <w:rFonts w:ascii="Century Gothic" w:hAnsi="Century Gothic"/>
                <w:b/>
              </w:rPr>
              <w:t>.)</w:t>
            </w:r>
          </w:p>
          <w:p w14:paraId="424DA57C" w14:textId="7CE4EA15" w:rsidR="007978D7" w:rsidRPr="005470D0" w:rsidRDefault="007978D7" w:rsidP="00CA578F">
            <w:pPr>
              <w:spacing w:before="120" w:after="120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(NB: </w:t>
            </w:r>
            <w:r w:rsidR="00CA578F">
              <w:rPr>
                <w:rFonts w:ascii="Century Gothic" w:hAnsi="Century Gothic"/>
                <w:sz w:val="18"/>
                <w:szCs w:val="18"/>
              </w:rPr>
              <w:t xml:space="preserve">to be arrived from rates in </w:t>
            </w:r>
            <w:proofErr w:type="spellStart"/>
            <w:r w:rsidR="00CA578F">
              <w:rPr>
                <w:rFonts w:ascii="Century Gothic" w:hAnsi="Century Gothic"/>
                <w:sz w:val="18"/>
                <w:szCs w:val="18"/>
              </w:rPr>
              <w:t>GeM</w:t>
            </w:r>
            <w:proofErr w:type="spellEnd"/>
            <w:r w:rsidR="00CA578F">
              <w:rPr>
                <w:rFonts w:ascii="Century Gothic" w:hAnsi="Century Gothic"/>
                <w:sz w:val="18"/>
                <w:szCs w:val="18"/>
              </w:rPr>
              <w:t xml:space="preserve"> portal)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D25EEA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1C8FFAD2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423936BC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27E6F975" w14:textId="77777777" w:rsidR="007978D7" w:rsidRPr="00F97346" w:rsidRDefault="007978D7" w:rsidP="007978D7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62FCC210" w14:textId="4C40423E" w:rsidR="007978D7" w:rsidRPr="00B12C2E" w:rsidRDefault="007978D7" w:rsidP="007978D7">
            <w:pPr>
              <w:spacing w:before="120" w:after="120"/>
              <w:rPr>
                <w:rFonts w:ascii="Century Gothic" w:hAnsi="Century Gothic"/>
              </w:rPr>
            </w:pPr>
            <w:r w:rsidRPr="0029209E">
              <w:rPr>
                <w:rFonts w:ascii="Century Gothic" w:hAnsi="Century Gothic"/>
                <w:b/>
              </w:rPr>
              <w:t>BUDGET PROVISIONS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ADC15F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1EA8BE2E" w14:textId="285624C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45E02005" w14:textId="6D63CA56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240C3909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29EA1E66" w14:textId="77777777" w:rsidR="007978D7" w:rsidRPr="00F97346" w:rsidRDefault="007978D7" w:rsidP="007978D7">
            <w:pPr>
              <w:pStyle w:val="ListParagraph"/>
              <w:numPr>
                <w:ilvl w:val="0"/>
                <w:numId w:val="12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159CE814" w14:textId="583A13CC" w:rsidR="007978D7" w:rsidRPr="003E28FA" w:rsidRDefault="007978D7" w:rsidP="007978D7">
            <w:pPr>
              <w:spacing w:before="120" w:after="120"/>
              <w:rPr>
                <w:rFonts w:ascii="Century Gothic" w:hAnsi="Century Gothic"/>
              </w:rPr>
            </w:pPr>
            <w:r w:rsidRPr="003E28FA">
              <w:rPr>
                <w:rFonts w:ascii="Century Gothic" w:hAnsi="Century Gothic"/>
              </w:rPr>
              <w:t>Budget Type</w:t>
            </w:r>
            <w:r>
              <w:rPr>
                <w:rFonts w:ascii="Century Gothic" w:hAnsi="Century Gothic"/>
              </w:rPr>
              <w:t xml:space="preserve"> (tick)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800382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2D136D91" w14:textId="41F11FE1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REVENUE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5D5F1742" w14:textId="50BFE93E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CAPITAL</w:t>
            </w:r>
          </w:p>
        </w:tc>
      </w:tr>
      <w:tr w:rsidR="007978D7" w:rsidRPr="00D25935" w14:paraId="3C4C2756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6EE86230" w14:textId="196FD6D9" w:rsidR="007978D7" w:rsidRPr="00F97346" w:rsidRDefault="007978D7" w:rsidP="007978D7">
            <w:pPr>
              <w:pStyle w:val="ListParagraph"/>
              <w:numPr>
                <w:ilvl w:val="0"/>
                <w:numId w:val="12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640BABDE" w14:textId="43120FD8" w:rsidR="007978D7" w:rsidRPr="00A31904" w:rsidRDefault="007978D7" w:rsidP="007978D7">
            <w:pPr>
              <w:spacing w:before="120" w:after="12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Budget Provision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CD5B29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172F02DF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018DE9BA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027AA4B7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20D86D2F" w14:textId="77777777" w:rsidR="007978D7" w:rsidRPr="00F97346" w:rsidRDefault="007978D7" w:rsidP="007978D7">
            <w:pPr>
              <w:pStyle w:val="ListParagraph"/>
              <w:numPr>
                <w:ilvl w:val="0"/>
                <w:numId w:val="12"/>
              </w:numPr>
              <w:ind w:left="38" w:hanging="38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29E15F0B" w14:textId="26F697C1" w:rsidR="007978D7" w:rsidRDefault="007978D7" w:rsidP="007978D7">
            <w:pPr>
              <w:spacing w:before="120" w:after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Amount spent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800F6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3C19C0A6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43006DA1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48A8AA1A" w14:textId="77777777" w:rsidTr="002528D9">
        <w:trPr>
          <w:trHeight w:val="567"/>
        </w:trPr>
        <w:tc>
          <w:tcPr>
            <w:tcW w:w="569" w:type="dxa"/>
            <w:vAlign w:val="center"/>
          </w:tcPr>
          <w:p w14:paraId="7FE2BF2F" w14:textId="77777777" w:rsidR="007978D7" w:rsidRPr="00F97346" w:rsidRDefault="007978D7" w:rsidP="007978D7">
            <w:pPr>
              <w:pStyle w:val="ListParagraph"/>
              <w:numPr>
                <w:ilvl w:val="0"/>
                <w:numId w:val="12"/>
              </w:numPr>
              <w:ind w:left="0" w:firstLine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38CD759F" w14:textId="5D288920" w:rsidR="007978D7" w:rsidRDefault="007978D7" w:rsidP="007978D7">
            <w:pPr>
              <w:spacing w:before="120" w:after="12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Balance Available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261EDE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95" w:type="dxa"/>
            <w:tcBorders>
              <w:left w:val="single" w:sz="4" w:space="0" w:color="auto"/>
            </w:tcBorders>
            <w:vAlign w:val="center"/>
          </w:tcPr>
          <w:p w14:paraId="7A7AF6C6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  <w:vAlign w:val="center"/>
          </w:tcPr>
          <w:p w14:paraId="5A59F8BF" w14:textId="77777777" w:rsidR="007978D7" w:rsidRDefault="007978D7" w:rsidP="007978D7">
            <w:pPr>
              <w:jc w:val="center"/>
              <w:rPr>
                <w:rFonts w:ascii="Century Gothic" w:hAnsi="Century Gothic"/>
                <w:b/>
              </w:rPr>
            </w:pPr>
          </w:p>
        </w:tc>
      </w:tr>
      <w:tr w:rsidR="007978D7" w:rsidRPr="00D25935" w14:paraId="3922E915" w14:textId="77777777" w:rsidTr="002528D9">
        <w:trPr>
          <w:trHeight w:val="1004"/>
        </w:trPr>
        <w:tc>
          <w:tcPr>
            <w:tcW w:w="569" w:type="dxa"/>
            <w:vAlign w:val="center"/>
          </w:tcPr>
          <w:p w14:paraId="6898E0D1" w14:textId="7FB728BC" w:rsidR="007978D7" w:rsidRPr="00D92756" w:rsidRDefault="002528D9" w:rsidP="007978D7">
            <w:pPr>
              <w:pStyle w:val="ListParagraph"/>
              <w:ind w:left="0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K</w:t>
            </w:r>
            <w:r w:rsidR="007978D7">
              <w:rPr>
                <w:rFonts w:ascii="Century Gothic" w:hAnsi="Century Gothic"/>
                <w:b/>
                <w:bCs/>
              </w:rPr>
              <w:t>.</w:t>
            </w: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4BF592A8" w14:textId="3BD76D62" w:rsidR="007978D7" w:rsidRPr="00D92756" w:rsidRDefault="007978D7" w:rsidP="007978D7">
            <w:pPr>
              <w:rPr>
                <w:rFonts w:ascii="Century Gothic" w:hAnsi="Century Gothic"/>
                <w:b/>
                <w:bCs/>
              </w:rPr>
            </w:pPr>
            <w:r w:rsidRPr="00D92756">
              <w:rPr>
                <w:rFonts w:ascii="Century Gothic" w:hAnsi="Century Gothic"/>
                <w:b/>
                <w:bCs/>
              </w:rPr>
              <w:t>PROCUREMENT POLICY COMPLIANCE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0823FB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7E590BB4" w14:textId="77777777" w:rsidR="007978D7" w:rsidRDefault="007978D7" w:rsidP="007978D7">
            <w:pPr>
              <w:rPr>
                <w:rFonts w:ascii="Century Gothic" w:hAnsi="Century Gothic"/>
              </w:rPr>
            </w:pPr>
          </w:p>
        </w:tc>
      </w:tr>
      <w:tr w:rsidR="007978D7" w:rsidRPr="00D25935" w14:paraId="56EA3A7A" w14:textId="77777777" w:rsidTr="002528D9">
        <w:trPr>
          <w:trHeight w:val="1004"/>
        </w:trPr>
        <w:tc>
          <w:tcPr>
            <w:tcW w:w="569" w:type="dxa"/>
            <w:vAlign w:val="center"/>
          </w:tcPr>
          <w:p w14:paraId="3CF22176" w14:textId="77777777" w:rsidR="007978D7" w:rsidRDefault="007978D7" w:rsidP="007978D7">
            <w:pPr>
              <w:pStyle w:val="ListParagraph"/>
              <w:ind w:left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07E87D4D" w14:textId="53D0FF40" w:rsidR="007978D7" w:rsidRDefault="007978D7" w:rsidP="007978D7">
            <w:pPr>
              <w:jc w:val="both"/>
              <w:rPr>
                <w:rFonts w:ascii="Century Gothic" w:hAnsi="Century Gothic"/>
              </w:rPr>
            </w:pPr>
            <w:r w:rsidRPr="00106EB5">
              <w:rPr>
                <w:rFonts w:ascii="Century Gothic" w:hAnsi="Century Gothic"/>
                <w:b/>
                <w:bCs/>
              </w:rPr>
              <w:t>MSE Reservation</w:t>
            </w:r>
            <w:r>
              <w:rPr>
                <w:rFonts w:ascii="Century Gothic" w:hAnsi="Century Gothic"/>
              </w:rPr>
              <w:t xml:space="preserve">: </w:t>
            </w:r>
            <w:r w:rsidR="0095071B">
              <w:rPr>
                <w:rFonts w:ascii="Century Gothic" w:hAnsi="Century Gothic"/>
              </w:rPr>
              <w:t>This p</w:t>
            </w:r>
            <w:r w:rsidRPr="00D92756">
              <w:rPr>
                <w:rFonts w:ascii="Century Gothic" w:hAnsi="Century Gothic"/>
              </w:rPr>
              <w:t xml:space="preserve">rocurement is reserved for purchase from Micro and Small </w:t>
            </w:r>
            <w:r w:rsidR="0095071B">
              <w:rPr>
                <w:rFonts w:ascii="Century Gothic" w:hAnsi="Century Gothic"/>
              </w:rPr>
              <w:t>manufacturers of the proposed products</w:t>
            </w:r>
          </w:p>
          <w:p w14:paraId="2FFA8987" w14:textId="47CCF932" w:rsidR="007978D7" w:rsidRPr="00D92756" w:rsidRDefault="007978D7" w:rsidP="007978D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 Yes / No 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7ADBD5" w14:textId="77777777" w:rsidR="007978D7" w:rsidRPr="00D25935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39504169" w14:textId="1D80BE3F" w:rsidR="007978D7" w:rsidRDefault="007978D7" w:rsidP="007978D7">
            <w:pPr>
              <w:jc w:val="center"/>
              <w:rPr>
                <w:rFonts w:ascii="Century Gothic" w:hAnsi="Century Gothic"/>
              </w:rPr>
            </w:pPr>
          </w:p>
        </w:tc>
      </w:tr>
      <w:tr w:rsidR="0031370A" w:rsidRPr="00D25935" w14:paraId="545EE494" w14:textId="77777777" w:rsidTr="002528D9">
        <w:trPr>
          <w:trHeight w:val="1004"/>
        </w:trPr>
        <w:tc>
          <w:tcPr>
            <w:tcW w:w="569" w:type="dxa"/>
            <w:vAlign w:val="center"/>
          </w:tcPr>
          <w:p w14:paraId="20419353" w14:textId="77777777" w:rsidR="0031370A" w:rsidRDefault="0031370A" w:rsidP="007978D7">
            <w:pPr>
              <w:pStyle w:val="ListParagraph"/>
              <w:ind w:left="0"/>
              <w:jc w:val="both"/>
              <w:rPr>
                <w:rFonts w:ascii="Century Gothic" w:hAnsi="Century Gothic"/>
              </w:rPr>
            </w:pPr>
          </w:p>
        </w:tc>
        <w:tc>
          <w:tcPr>
            <w:tcW w:w="3967" w:type="dxa"/>
            <w:tcBorders>
              <w:right w:val="single" w:sz="4" w:space="0" w:color="auto"/>
            </w:tcBorders>
            <w:vAlign w:val="center"/>
          </w:tcPr>
          <w:p w14:paraId="0394320F" w14:textId="77777777" w:rsidR="0031370A" w:rsidRDefault="0031370A" w:rsidP="0031370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MII Reservation (Local Content)</w:t>
            </w:r>
            <w:r w:rsidRPr="00106EB5">
              <w:rPr>
                <w:rFonts w:ascii="Century Gothic" w:hAnsi="Century Gothic"/>
                <w:b/>
                <w:bCs/>
              </w:rPr>
              <w:t>:</w:t>
            </w:r>
            <w:r>
              <w:rPr>
                <w:rFonts w:ascii="Century Gothic" w:hAnsi="Century Gothic"/>
              </w:rPr>
              <w:t xml:space="preserve"> </w:t>
            </w:r>
            <w:r w:rsidRPr="00D92756">
              <w:rPr>
                <w:rFonts w:ascii="Century Gothic" w:hAnsi="Century Gothic"/>
              </w:rPr>
              <w:t xml:space="preserve">Procurement under this bid is reserved for purchase from Class 1 local suppliers </w:t>
            </w:r>
          </w:p>
          <w:p w14:paraId="0EBDA6A8" w14:textId="20125726" w:rsidR="0031370A" w:rsidRPr="00106EB5" w:rsidRDefault="0031370A" w:rsidP="0031370A">
            <w:pPr>
              <w:jc w:val="both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</w:rPr>
              <w:t>( Yes / No )</w:t>
            </w:r>
            <w:r>
              <w:rPr>
                <w:rFonts w:ascii="Century Gothic" w:hAnsi="Century Gothic"/>
              </w:rPr>
              <w:t xml:space="preserve"> (EV&gt;5Lakhs)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F23CB" w14:textId="77777777" w:rsidR="0031370A" w:rsidRPr="00D25935" w:rsidRDefault="0031370A" w:rsidP="007978D7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5378" w:type="dxa"/>
            <w:gridSpan w:val="2"/>
            <w:tcBorders>
              <w:left w:val="single" w:sz="4" w:space="0" w:color="auto"/>
            </w:tcBorders>
            <w:vAlign w:val="center"/>
          </w:tcPr>
          <w:p w14:paraId="05FCF565" w14:textId="77777777" w:rsidR="0031370A" w:rsidRDefault="0031370A" w:rsidP="007978D7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1AA5E382" w14:textId="43A8C788" w:rsidR="00F2587E" w:rsidRDefault="00F2587E" w:rsidP="00D25935">
      <w:pPr>
        <w:rPr>
          <w:rFonts w:ascii="Century Gothic" w:hAnsi="Century Gothic"/>
          <w:b/>
        </w:rPr>
      </w:pPr>
    </w:p>
    <w:p w14:paraId="3CFB7550" w14:textId="58FDAECE" w:rsidR="00555DE6" w:rsidRDefault="000D1904" w:rsidP="00570E5F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Since </w:t>
      </w:r>
      <w:proofErr w:type="spellStart"/>
      <w:r>
        <w:rPr>
          <w:rFonts w:ascii="Century Gothic" w:hAnsi="Century Gothic"/>
        </w:rPr>
        <w:t>GeM</w:t>
      </w:r>
      <w:proofErr w:type="spellEnd"/>
      <w:r>
        <w:rPr>
          <w:rFonts w:ascii="Century Gothic" w:hAnsi="Century Gothic"/>
        </w:rPr>
        <w:t xml:space="preserve"> portal is dynamic in nature and the carted item rate is valid only for 10 </w:t>
      </w:r>
      <w:r w:rsidR="0028360E">
        <w:rPr>
          <w:rFonts w:ascii="Century Gothic" w:hAnsi="Century Gothic"/>
        </w:rPr>
        <w:t>days, approval</w:t>
      </w:r>
      <w:r w:rsidR="00570E5F" w:rsidRPr="00570E5F">
        <w:rPr>
          <w:rFonts w:ascii="Century Gothic" w:hAnsi="Century Gothic"/>
        </w:rPr>
        <w:t xml:space="preserve"> from competent authority is requested to place PO </w:t>
      </w:r>
      <w:r>
        <w:rPr>
          <w:rFonts w:ascii="Century Gothic" w:hAnsi="Century Gothic"/>
        </w:rPr>
        <w:t>if the total revised value of the particular item(s)</w:t>
      </w:r>
      <w:r w:rsidR="00570E5F" w:rsidRPr="00570E5F">
        <w:rPr>
          <w:rFonts w:ascii="Century Gothic" w:hAnsi="Century Gothic"/>
        </w:rPr>
        <w:t xml:space="preserve"> in </w:t>
      </w:r>
      <w:proofErr w:type="spellStart"/>
      <w:r w:rsidR="00570E5F" w:rsidRPr="00570E5F">
        <w:rPr>
          <w:rFonts w:ascii="Century Gothic" w:hAnsi="Century Gothic"/>
        </w:rPr>
        <w:t>GeM</w:t>
      </w:r>
      <w:proofErr w:type="spellEnd"/>
      <w:r w:rsidR="00570E5F" w:rsidRPr="00570E5F">
        <w:rPr>
          <w:rFonts w:ascii="Century Gothic" w:hAnsi="Century Gothic"/>
        </w:rPr>
        <w:t xml:space="preserve"> portal is within +5% of the approved value</w:t>
      </w:r>
      <w:r w:rsidR="0031370A">
        <w:rPr>
          <w:rFonts w:ascii="Century Gothic" w:hAnsi="Century Gothic"/>
        </w:rPr>
        <w:t xml:space="preserve"> </w:t>
      </w:r>
      <w:r w:rsidR="00A36798">
        <w:rPr>
          <w:rFonts w:ascii="Century Gothic" w:hAnsi="Century Gothic"/>
        </w:rPr>
        <w:t>(</w:t>
      </w:r>
      <w:r w:rsidR="0031370A">
        <w:rPr>
          <w:rFonts w:ascii="Century Gothic" w:hAnsi="Century Gothic"/>
        </w:rPr>
        <w:t>restricted to within 10 lakhs</w:t>
      </w:r>
      <w:r w:rsidR="00A36798">
        <w:rPr>
          <w:rFonts w:ascii="Century Gothic" w:hAnsi="Century Gothic"/>
        </w:rPr>
        <w:t>)</w:t>
      </w:r>
      <w:bookmarkStart w:id="1" w:name="_GoBack"/>
      <w:bookmarkEnd w:id="1"/>
      <w:r w:rsidR="00570E5F">
        <w:rPr>
          <w:rFonts w:ascii="Century Gothic" w:hAnsi="Century Gothic"/>
        </w:rPr>
        <w:t>.</w:t>
      </w:r>
    </w:p>
    <w:p w14:paraId="2DCC97C7" w14:textId="1CE77647" w:rsidR="00374726" w:rsidRDefault="00374726" w:rsidP="00570E5F">
      <w:pPr>
        <w:rPr>
          <w:rFonts w:ascii="Century Gothic" w:hAnsi="Century Gothic"/>
        </w:rPr>
      </w:pPr>
    </w:p>
    <w:p w14:paraId="76B1321E" w14:textId="77777777" w:rsidR="00374726" w:rsidRPr="00570E5F" w:rsidRDefault="00374726" w:rsidP="00570E5F">
      <w:pPr>
        <w:rPr>
          <w:rFonts w:ascii="Century Gothic" w:hAnsi="Century Gothic"/>
        </w:rPr>
      </w:pPr>
    </w:p>
    <w:p w14:paraId="2E54E0FC" w14:textId="77777777" w:rsidR="007B37FE" w:rsidRDefault="007B37FE" w:rsidP="00D25935">
      <w:pPr>
        <w:rPr>
          <w:rFonts w:ascii="Century Gothic" w:hAnsi="Century Gothic"/>
          <w:b/>
        </w:rPr>
      </w:pPr>
    </w:p>
    <w:p w14:paraId="6915C206" w14:textId="77C96737" w:rsidR="00F075CA" w:rsidRDefault="00F075CA" w:rsidP="00D25935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Signature of the </w:t>
      </w:r>
      <w:r w:rsidR="00F97346">
        <w:rPr>
          <w:rFonts w:ascii="Century Gothic" w:hAnsi="Century Gothic"/>
          <w:b/>
        </w:rPr>
        <w:t>Indenter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  <w:t xml:space="preserve">HOD/Indenting Division </w:t>
      </w:r>
    </w:p>
    <w:p w14:paraId="0489AECF" w14:textId="6376DA09" w:rsidR="005470D0" w:rsidRDefault="005470D0" w:rsidP="00D25935">
      <w:pPr>
        <w:rPr>
          <w:rFonts w:ascii="Century Gothic" w:hAnsi="Century Gothic"/>
          <w:b/>
        </w:rPr>
      </w:pPr>
    </w:p>
    <w:p w14:paraId="61976EEC" w14:textId="098743E8" w:rsidR="00A9716A" w:rsidRDefault="00A9716A" w:rsidP="00D25935">
      <w:pPr>
        <w:rPr>
          <w:rFonts w:ascii="Century Gothic" w:hAnsi="Century Gothic"/>
          <w:b/>
        </w:rPr>
      </w:pPr>
    </w:p>
    <w:p w14:paraId="2544CB89" w14:textId="5B411FB5" w:rsidR="00A9716A" w:rsidRDefault="00A9716A" w:rsidP="00D25935">
      <w:pPr>
        <w:rPr>
          <w:rFonts w:ascii="Century Gothic" w:hAnsi="Century Gothic"/>
          <w:b/>
        </w:rPr>
      </w:pPr>
    </w:p>
    <w:p w14:paraId="6C6A53E5" w14:textId="45E8A95D" w:rsidR="00A9716A" w:rsidRDefault="00A9716A" w:rsidP="00D25935">
      <w:pPr>
        <w:rPr>
          <w:rFonts w:ascii="Century Gothic" w:hAnsi="Century Gothic"/>
          <w:b/>
        </w:rPr>
      </w:pPr>
    </w:p>
    <w:p w14:paraId="21DDF69F" w14:textId="3F876CDA" w:rsidR="002C1059" w:rsidRPr="00374726" w:rsidRDefault="002C1059" w:rsidP="00374726">
      <w:pPr>
        <w:spacing w:before="120" w:after="0" w:line="240" w:lineRule="auto"/>
        <w:jc w:val="both"/>
        <w:rPr>
          <w:rFonts w:ascii="Century Gothic" w:hAnsi="Century Gothic"/>
          <w:sz w:val="18"/>
          <w:szCs w:val="18"/>
        </w:rPr>
      </w:pPr>
    </w:p>
    <w:sectPr w:rsidR="002C1059" w:rsidRPr="00374726" w:rsidSect="005D176C">
      <w:pgSz w:w="11906" w:h="16838"/>
      <w:pgMar w:top="426" w:right="991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altName w:val="Arial Unicode MS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17FF2"/>
    <w:multiLevelType w:val="hybridMultilevel"/>
    <w:tmpl w:val="8D7AE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5F92"/>
    <w:multiLevelType w:val="hybridMultilevel"/>
    <w:tmpl w:val="CE3EC84C"/>
    <w:lvl w:ilvl="0" w:tplc="54129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5F0A7A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6B81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42992"/>
    <w:multiLevelType w:val="hybridMultilevel"/>
    <w:tmpl w:val="7116F662"/>
    <w:lvl w:ilvl="0" w:tplc="B562F6F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B1B8A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A2E79"/>
    <w:multiLevelType w:val="hybridMultilevel"/>
    <w:tmpl w:val="4080B946"/>
    <w:lvl w:ilvl="0" w:tplc="25AEE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B7F92"/>
    <w:multiLevelType w:val="hybridMultilevel"/>
    <w:tmpl w:val="C674F8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F428D"/>
    <w:multiLevelType w:val="hybridMultilevel"/>
    <w:tmpl w:val="20F4A732"/>
    <w:lvl w:ilvl="0" w:tplc="2CDEC1D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5CB1C90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111D1"/>
    <w:multiLevelType w:val="hybridMultilevel"/>
    <w:tmpl w:val="8A100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33C4D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0450"/>
    <w:multiLevelType w:val="hybridMultilevel"/>
    <w:tmpl w:val="5D2A6FA0"/>
    <w:lvl w:ilvl="0" w:tplc="B3740AA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46355"/>
    <w:multiLevelType w:val="hybridMultilevel"/>
    <w:tmpl w:val="44363C70"/>
    <w:lvl w:ilvl="0" w:tplc="46A48582">
      <w:start w:val="1"/>
      <w:numFmt w:val="upperLetter"/>
      <w:lvlText w:val="%1."/>
      <w:lvlJc w:val="left"/>
      <w:pPr>
        <w:ind w:left="7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4" w15:restartNumberingAfterBreak="0">
    <w:nsid w:val="5A58324D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A5468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86CDA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D38DD"/>
    <w:multiLevelType w:val="hybridMultilevel"/>
    <w:tmpl w:val="4080B946"/>
    <w:lvl w:ilvl="0" w:tplc="25AEEA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C534BA"/>
    <w:multiLevelType w:val="hybridMultilevel"/>
    <w:tmpl w:val="9F2E3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16768"/>
    <w:multiLevelType w:val="hybridMultilevel"/>
    <w:tmpl w:val="2C4495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1B2C8C"/>
    <w:multiLevelType w:val="hybridMultilevel"/>
    <w:tmpl w:val="D7C8C3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4"/>
  </w:num>
  <w:num w:numId="5">
    <w:abstractNumId w:val="20"/>
  </w:num>
  <w:num w:numId="6">
    <w:abstractNumId w:val="16"/>
  </w:num>
  <w:num w:numId="7">
    <w:abstractNumId w:val="3"/>
  </w:num>
  <w:num w:numId="8">
    <w:abstractNumId w:val="2"/>
  </w:num>
  <w:num w:numId="9">
    <w:abstractNumId w:val="14"/>
  </w:num>
  <w:num w:numId="10">
    <w:abstractNumId w:val="11"/>
  </w:num>
  <w:num w:numId="11">
    <w:abstractNumId w:val="15"/>
  </w:num>
  <w:num w:numId="12">
    <w:abstractNumId w:val="19"/>
  </w:num>
  <w:num w:numId="13">
    <w:abstractNumId w:val="5"/>
  </w:num>
  <w:num w:numId="14">
    <w:abstractNumId w:val="1"/>
  </w:num>
  <w:num w:numId="15">
    <w:abstractNumId w:val="18"/>
  </w:num>
  <w:num w:numId="16">
    <w:abstractNumId w:val="8"/>
  </w:num>
  <w:num w:numId="17">
    <w:abstractNumId w:val="0"/>
  </w:num>
  <w:num w:numId="18">
    <w:abstractNumId w:val="17"/>
  </w:num>
  <w:num w:numId="19">
    <w:abstractNumId w:val="7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9E9"/>
    <w:rsid w:val="0000492C"/>
    <w:rsid w:val="00045BD3"/>
    <w:rsid w:val="00091C43"/>
    <w:rsid w:val="000A5939"/>
    <w:rsid w:val="000A59E2"/>
    <w:rsid w:val="000C6043"/>
    <w:rsid w:val="000D1904"/>
    <w:rsid w:val="000E1CC6"/>
    <w:rsid w:val="000F6B22"/>
    <w:rsid w:val="00100866"/>
    <w:rsid w:val="00106EB5"/>
    <w:rsid w:val="0011718C"/>
    <w:rsid w:val="00124405"/>
    <w:rsid w:val="0014776C"/>
    <w:rsid w:val="00171FBB"/>
    <w:rsid w:val="001748A9"/>
    <w:rsid w:val="00183324"/>
    <w:rsid w:val="001873C5"/>
    <w:rsid w:val="00196C31"/>
    <w:rsid w:val="001E4B13"/>
    <w:rsid w:val="0020023E"/>
    <w:rsid w:val="0021588E"/>
    <w:rsid w:val="002528D9"/>
    <w:rsid w:val="00274E22"/>
    <w:rsid w:val="0028360E"/>
    <w:rsid w:val="00287FE4"/>
    <w:rsid w:val="0029209E"/>
    <w:rsid w:val="00293273"/>
    <w:rsid w:val="002C1059"/>
    <w:rsid w:val="002C39AA"/>
    <w:rsid w:val="002E3492"/>
    <w:rsid w:val="002E376E"/>
    <w:rsid w:val="002F22CC"/>
    <w:rsid w:val="00312C3B"/>
    <w:rsid w:val="0031370A"/>
    <w:rsid w:val="0036004A"/>
    <w:rsid w:val="00374726"/>
    <w:rsid w:val="00377923"/>
    <w:rsid w:val="00387232"/>
    <w:rsid w:val="00391D82"/>
    <w:rsid w:val="00393727"/>
    <w:rsid w:val="003B2B56"/>
    <w:rsid w:val="003B458D"/>
    <w:rsid w:val="003C2B9C"/>
    <w:rsid w:val="003C4A55"/>
    <w:rsid w:val="003D35AE"/>
    <w:rsid w:val="003D6520"/>
    <w:rsid w:val="003E28FA"/>
    <w:rsid w:val="003E5AFF"/>
    <w:rsid w:val="003E69B7"/>
    <w:rsid w:val="0041497C"/>
    <w:rsid w:val="00453AC4"/>
    <w:rsid w:val="00461859"/>
    <w:rsid w:val="00482A64"/>
    <w:rsid w:val="00494514"/>
    <w:rsid w:val="00500E10"/>
    <w:rsid w:val="00505092"/>
    <w:rsid w:val="00520A5D"/>
    <w:rsid w:val="00530D1A"/>
    <w:rsid w:val="005470D0"/>
    <w:rsid w:val="00555DE6"/>
    <w:rsid w:val="00562DA7"/>
    <w:rsid w:val="00570E5F"/>
    <w:rsid w:val="00572F67"/>
    <w:rsid w:val="005865DC"/>
    <w:rsid w:val="00593B33"/>
    <w:rsid w:val="005A169E"/>
    <w:rsid w:val="005A7FCA"/>
    <w:rsid w:val="005D176C"/>
    <w:rsid w:val="005D36DA"/>
    <w:rsid w:val="005D7218"/>
    <w:rsid w:val="005D751D"/>
    <w:rsid w:val="0062746D"/>
    <w:rsid w:val="0063408C"/>
    <w:rsid w:val="006409E9"/>
    <w:rsid w:val="00656563"/>
    <w:rsid w:val="0068722B"/>
    <w:rsid w:val="00691C49"/>
    <w:rsid w:val="006A7741"/>
    <w:rsid w:val="006C37F2"/>
    <w:rsid w:val="006D60FB"/>
    <w:rsid w:val="006E6D09"/>
    <w:rsid w:val="00710DE9"/>
    <w:rsid w:val="00714B1A"/>
    <w:rsid w:val="00716C97"/>
    <w:rsid w:val="0072272E"/>
    <w:rsid w:val="00750789"/>
    <w:rsid w:val="00750B1F"/>
    <w:rsid w:val="00756AC2"/>
    <w:rsid w:val="00764569"/>
    <w:rsid w:val="00772E40"/>
    <w:rsid w:val="00784A15"/>
    <w:rsid w:val="007978D7"/>
    <w:rsid w:val="007A5021"/>
    <w:rsid w:val="007B0930"/>
    <w:rsid w:val="007B1AFA"/>
    <w:rsid w:val="007B37FE"/>
    <w:rsid w:val="007F1020"/>
    <w:rsid w:val="00806E16"/>
    <w:rsid w:val="00837927"/>
    <w:rsid w:val="0085524A"/>
    <w:rsid w:val="00855C81"/>
    <w:rsid w:val="00860981"/>
    <w:rsid w:val="008702D8"/>
    <w:rsid w:val="00880A49"/>
    <w:rsid w:val="00882779"/>
    <w:rsid w:val="0089298E"/>
    <w:rsid w:val="008A0AB6"/>
    <w:rsid w:val="008B470F"/>
    <w:rsid w:val="00927CF1"/>
    <w:rsid w:val="0093744E"/>
    <w:rsid w:val="009429B3"/>
    <w:rsid w:val="0095071B"/>
    <w:rsid w:val="00955477"/>
    <w:rsid w:val="009802FE"/>
    <w:rsid w:val="009A002C"/>
    <w:rsid w:val="009C1E1F"/>
    <w:rsid w:val="009C4D24"/>
    <w:rsid w:val="009C5894"/>
    <w:rsid w:val="009E0808"/>
    <w:rsid w:val="009F4C54"/>
    <w:rsid w:val="00A116A7"/>
    <w:rsid w:val="00A12F8D"/>
    <w:rsid w:val="00A31904"/>
    <w:rsid w:val="00A36798"/>
    <w:rsid w:val="00A51827"/>
    <w:rsid w:val="00A63C40"/>
    <w:rsid w:val="00A71900"/>
    <w:rsid w:val="00A735DA"/>
    <w:rsid w:val="00A868BA"/>
    <w:rsid w:val="00A9716A"/>
    <w:rsid w:val="00AD112F"/>
    <w:rsid w:val="00B02682"/>
    <w:rsid w:val="00B12C2E"/>
    <w:rsid w:val="00B16442"/>
    <w:rsid w:val="00B254CE"/>
    <w:rsid w:val="00B93DDA"/>
    <w:rsid w:val="00BA0CD2"/>
    <w:rsid w:val="00BB6D7E"/>
    <w:rsid w:val="00BD2F0A"/>
    <w:rsid w:val="00C15AD2"/>
    <w:rsid w:val="00CA578F"/>
    <w:rsid w:val="00CA71D2"/>
    <w:rsid w:val="00CB5434"/>
    <w:rsid w:val="00CC1968"/>
    <w:rsid w:val="00CC2E05"/>
    <w:rsid w:val="00CC42EF"/>
    <w:rsid w:val="00CC5477"/>
    <w:rsid w:val="00CD1E16"/>
    <w:rsid w:val="00CF1AD9"/>
    <w:rsid w:val="00CF7522"/>
    <w:rsid w:val="00D0449C"/>
    <w:rsid w:val="00D12522"/>
    <w:rsid w:val="00D13133"/>
    <w:rsid w:val="00D1616A"/>
    <w:rsid w:val="00D16B63"/>
    <w:rsid w:val="00D2388D"/>
    <w:rsid w:val="00D246D3"/>
    <w:rsid w:val="00D25935"/>
    <w:rsid w:val="00D40C55"/>
    <w:rsid w:val="00D56FD1"/>
    <w:rsid w:val="00D61E13"/>
    <w:rsid w:val="00D7764A"/>
    <w:rsid w:val="00D77B55"/>
    <w:rsid w:val="00D84A99"/>
    <w:rsid w:val="00D8765C"/>
    <w:rsid w:val="00D91BC4"/>
    <w:rsid w:val="00D92756"/>
    <w:rsid w:val="00DA49BA"/>
    <w:rsid w:val="00DC3EC6"/>
    <w:rsid w:val="00DC673A"/>
    <w:rsid w:val="00DD432F"/>
    <w:rsid w:val="00E0478E"/>
    <w:rsid w:val="00E226EA"/>
    <w:rsid w:val="00E24C3D"/>
    <w:rsid w:val="00E24EBB"/>
    <w:rsid w:val="00E25A89"/>
    <w:rsid w:val="00E42A90"/>
    <w:rsid w:val="00E824C5"/>
    <w:rsid w:val="00EA4BED"/>
    <w:rsid w:val="00ED0482"/>
    <w:rsid w:val="00EE0243"/>
    <w:rsid w:val="00EE62FD"/>
    <w:rsid w:val="00EF33BB"/>
    <w:rsid w:val="00F05993"/>
    <w:rsid w:val="00F075CA"/>
    <w:rsid w:val="00F17553"/>
    <w:rsid w:val="00F23257"/>
    <w:rsid w:val="00F23E4B"/>
    <w:rsid w:val="00F2587E"/>
    <w:rsid w:val="00F2737E"/>
    <w:rsid w:val="00F562CB"/>
    <w:rsid w:val="00F705C9"/>
    <w:rsid w:val="00F70FB9"/>
    <w:rsid w:val="00F82D2C"/>
    <w:rsid w:val="00F8323B"/>
    <w:rsid w:val="00F97346"/>
    <w:rsid w:val="00FD4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9D3B1"/>
  <w15:docId w15:val="{B775662F-C36B-45DE-A367-CCC6DB9A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9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E4B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A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A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5255D-8530-4B9E-96FF-D3F90A3A5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ntpl82</dc:creator>
  <cp:keywords/>
  <dc:description/>
  <cp:lastModifiedBy>suresh na</cp:lastModifiedBy>
  <cp:revision>6</cp:revision>
  <cp:lastPrinted>2019-01-21T06:44:00Z</cp:lastPrinted>
  <dcterms:created xsi:type="dcterms:W3CDTF">2024-09-13T05:32:00Z</dcterms:created>
  <dcterms:modified xsi:type="dcterms:W3CDTF">2025-01-06T06:58:00Z</dcterms:modified>
</cp:coreProperties>
</file>