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160" w:rsidRPr="004878D4" w:rsidRDefault="008B4146" w:rsidP="004878D4">
      <w:pPr>
        <w:jc w:val="center"/>
        <w:rPr>
          <w:rFonts w:asciiTheme="minorHAnsi" w:hAnsiTheme="minorHAnsi" w:cstheme="minorHAnsi"/>
          <w:b/>
          <w:sz w:val="40"/>
          <w:szCs w:val="44"/>
        </w:rPr>
      </w:pPr>
      <w:r w:rsidRPr="004878D4">
        <w:rPr>
          <w:rFonts w:asciiTheme="minorHAnsi" w:hAnsiTheme="minorHAnsi" w:cstheme="minorHAnsi"/>
          <w:b/>
          <w:sz w:val="40"/>
          <w:szCs w:val="44"/>
        </w:rPr>
        <w:t>EXPERIENCE</w:t>
      </w:r>
    </w:p>
    <w:p w:rsidR="00035DE3" w:rsidRDefault="00035DE3" w:rsidP="00EE1149">
      <w:pPr>
        <w:tabs>
          <w:tab w:val="right" w:pos="9360"/>
        </w:tabs>
        <w:jc w:val="both"/>
        <w:rPr>
          <w:rFonts w:asciiTheme="minorHAnsi" w:hAnsiTheme="minorHAnsi" w:cstheme="minorHAnsi"/>
          <w:b/>
          <w:sz w:val="28"/>
          <w:szCs w:val="28"/>
        </w:rPr>
      </w:pPr>
      <w:r w:rsidRPr="004878D4">
        <w:rPr>
          <w:rFonts w:asciiTheme="minorHAnsi" w:hAnsiTheme="minorHAnsi" w:cstheme="minorHAnsi"/>
          <w:b/>
          <w:sz w:val="28"/>
          <w:szCs w:val="28"/>
        </w:rPr>
        <w:t>Institute for Defense Analyses</w:t>
      </w:r>
      <w:r w:rsidR="00053F71" w:rsidRPr="004878D4">
        <w:rPr>
          <w:rFonts w:asciiTheme="minorHAnsi" w:hAnsiTheme="minorHAnsi" w:cstheme="minorHAnsi"/>
          <w:b/>
          <w:sz w:val="28"/>
          <w:szCs w:val="28"/>
        </w:rPr>
        <w:t xml:space="preserve"> (IDA)</w:t>
      </w:r>
      <w:r w:rsidR="00A8205A" w:rsidRPr="004878D4">
        <w:rPr>
          <w:rFonts w:asciiTheme="minorHAnsi" w:hAnsiTheme="minorHAnsi" w:cstheme="minorHAnsi"/>
          <w:b/>
          <w:sz w:val="28"/>
          <w:szCs w:val="28"/>
        </w:rPr>
        <w:t>, Research Staff Member</w:t>
      </w:r>
      <w:r w:rsidR="00B52957" w:rsidRPr="004878D4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B52957" w:rsidRPr="004878D4">
        <w:rPr>
          <w:rFonts w:asciiTheme="minorHAnsi" w:hAnsiTheme="minorHAnsi" w:cstheme="minorHAnsi"/>
          <w:b/>
          <w:sz w:val="28"/>
          <w:szCs w:val="28"/>
        </w:rPr>
        <w:tab/>
      </w:r>
      <w:r w:rsidRPr="004878D4">
        <w:rPr>
          <w:rFonts w:asciiTheme="minorHAnsi" w:hAnsiTheme="minorHAnsi" w:cstheme="minorHAnsi"/>
          <w:b/>
          <w:sz w:val="28"/>
          <w:szCs w:val="28"/>
        </w:rPr>
        <w:t>2008—present</w:t>
      </w:r>
    </w:p>
    <w:p w:rsidR="00C325D9" w:rsidRPr="004878D4" w:rsidRDefault="00C325D9" w:rsidP="00EE1149">
      <w:pPr>
        <w:tabs>
          <w:tab w:val="right" w:pos="9360"/>
        </w:tabs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</w:t>
      </w:r>
      <w:proofErr w:type="gramStart"/>
      <w:r>
        <w:rPr>
          <w:rFonts w:asciiTheme="minorHAnsi" w:hAnsiTheme="minorHAnsi" w:cstheme="minorHAnsi"/>
          <w:b/>
          <w:sz w:val="28"/>
          <w:szCs w:val="28"/>
        </w:rPr>
        <w:t>with</w:t>
      </w:r>
      <w:proofErr w:type="gramEnd"/>
      <w:r>
        <w:rPr>
          <w:rFonts w:asciiTheme="minorHAnsi" w:hAnsiTheme="minorHAnsi" w:cstheme="minorHAnsi"/>
          <w:b/>
          <w:sz w:val="28"/>
          <w:szCs w:val="28"/>
        </w:rPr>
        <w:t xml:space="preserve"> active SECRET security clearance </w:t>
      </w:r>
    </w:p>
    <w:p w:rsidR="00A8205A" w:rsidRPr="00B52957" w:rsidRDefault="00035DE3" w:rsidP="00EE1149">
      <w:pPr>
        <w:tabs>
          <w:tab w:val="right" w:pos="9360"/>
        </w:tabs>
        <w:jc w:val="both"/>
        <w:rPr>
          <w:rFonts w:asciiTheme="minorHAnsi" w:hAnsiTheme="minorHAnsi" w:cstheme="minorHAnsi"/>
          <w:b/>
          <w:i/>
          <w:sz w:val="22"/>
        </w:rPr>
      </w:pPr>
      <w:r w:rsidRPr="00B52957">
        <w:rPr>
          <w:rFonts w:asciiTheme="minorHAnsi" w:hAnsiTheme="minorHAnsi" w:cstheme="minorHAnsi"/>
          <w:b/>
          <w:i/>
          <w:sz w:val="22"/>
        </w:rPr>
        <w:t>Strategy, Forces and Resources Division</w:t>
      </w:r>
      <w:r w:rsidR="00B52957" w:rsidRPr="00B52957">
        <w:rPr>
          <w:rFonts w:asciiTheme="minorHAnsi" w:hAnsiTheme="minorHAnsi" w:cstheme="minorHAnsi"/>
          <w:b/>
          <w:i/>
          <w:sz w:val="22"/>
        </w:rPr>
        <w:tab/>
      </w:r>
      <w:r w:rsidR="00FB407C" w:rsidRPr="00B52957">
        <w:rPr>
          <w:rFonts w:asciiTheme="minorHAnsi" w:hAnsiTheme="minorHAnsi" w:cstheme="minorHAnsi"/>
          <w:b/>
          <w:i/>
          <w:sz w:val="22"/>
        </w:rPr>
        <w:t>(2012—present)</w:t>
      </w:r>
      <w:r w:rsidR="00A8205A" w:rsidRPr="00B52957">
        <w:rPr>
          <w:rFonts w:asciiTheme="minorHAnsi" w:hAnsiTheme="minorHAnsi" w:cstheme="minorHAnsi"/>
          <w:b/>
          <w:i/>
          <w:sz w:val="22"/>
        </w:rPr>
        <w:t xml:space="preserve"> </w:t>
      </w:r>
    </w:p>
    <w:p w:rsidR="00035DE3" w:rsidRPr="00B52957" w:rsidRDefault="00A8205A" w:rsidP="00AF56DD">
      <w:pPr>
        <w:ind w:firstLine="720"/>
        <w:jc w:val="both"/>
        <w:rPr>
          <w:rFonts w:asciiTheme="minorHAnsi" w:hAnsiTheme="minorHAnsi" w:cstheme="minorHAnsi"/>
          <w:b/>
          <w:i/>
          <w:sz w:val="22"/>
        </w:rPr>
      </w:pPr>
      <w:r w:rsidRPr="00B52957">
        <w:rPr>
          <w:rFonts w:asciiTheme="minorHAnsi" w:hAnsiTheme="minorHAnsi" w:cstheme="minorHAnsi"/>
          <w:b/>
          <w:i/>
          <w:sz w:val="22"/>
        </w:rPr>
        <w:t xml:space="preserve">Chemical, Biological, Radiological, and </w:t>
      </w:r>
      <w:r w:rsidR="00AF56DD">
        <w:rPr>
          <w:rFonts w:asciiTheme="minorHAnsi" w:hAnsiTheme="minorHAnsi" w:cstheme="minorHAnsi"/>
          <w:b/>
          <w:i/>
          <w:sz w:val="22"/>
        </w:rPr>
        <w:t>Nuclear (CBRN) Analysis Group</w:t>
      </w:r>
    </w:p>
    <w:p w:rsidR="00E96EE3" w:rsidRPr="00B52957" w:rsidRDefault="00E347D8" w:rsidP="00EE1149">
      <w:p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S</w:t>
      </w:r>
      <w:r w:rsidR="00A8205A" w:rsidRPr="00B52957">
        <w:rPr>
          <w:rFonts w:asciiTheme="minorHAnsi" w:hAnsiTheme="minorHAnsi" w:cstheme="minorHAnsi"/>
          <w:sz w:val="22"/>
        </w:rPr>
        <w:t>upport</w:t>
      </w:r>
      <w:r w:rsidR="00E96EE3" w:rsidRPr="00B52957">
        <w:rPr>
          <w:rFonts w:asciiTheme="minorHAnsi" w:hAnsiTheme="minorHAnsi" w:cstheme="minorHAnsi"/>
          <w:sz w:val="22"/>
        </w:rPr>
        <w:t xml:space="preserve"> multiple Department of Defense and Department of Homeland Security agencies</w:t>
      </w:r>
      <w:r w:rsidR="00A8205A" w:rsidRPr="00B52957">
        <w:rPr>
          <w:rFonts w:asciiTheme="minorHAnsi" w:hAnsiTheme="minorHAnsi" w:cstheme="minorHAnsi"/>
          <w:sz w:val="22"/>
        </w:rPr>
        <w:t>:</w:t>
      </w:r>
    </w:p>
    <w:p w:rsidR="002865D9" w:rsidRPr="00B52957" w:rsidRDefault="00E96EE3" w:rsidP="00EE1149">
      <w:pPr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Lead</w:t>
      </w:r>
      <w:r w:rsidR="00035DE3" w:rsidRPr="00B52957">
        <w:rPr>
          <w:rFonts w:asciiTheme="minorHAnsi" w:hAnsiTheme="minorHAnsi" w:cstheme="minorHAnsi"/>
          <w:sz w:val="22"/>
        </w:rPr>
        <w:t xml:space="preserve"> the development of </w:t>
      </w:r>
      <w:r w:rsidR="00F35D5B" w:rsidRPr="00B52957">
        <w:rPr>
          <w:rFonts w:asciiTheme="minorHAnsi" w:hAnsiTheme="minorHAnsi" w:cstheme="minorHAnsi"/>
          <w:sz w:val="22"/>
        </w:rPr>
        <w:t xml:space="preserve">analysis </w:t>
      </w:r>
      <w:r w:rsidR="00035DE3" w:rsidRPr="00B52957">
        <w:rPr>
          <w:rFonts w:asciiTheme="minorHAnsi" w:hAnsiTheme="minorHAnsi" w:cstheme="minorHAnsi"/>
          <w:sz w:val="22"/>
        </w:rPr>
        <w:t>tools</w:t>
      </w:r>
      <w:r w:rsidR="00F35D5B" w:rsidRPr="00B52957">
        <w:rPr>
          <w:rFonts w:asciiTheme="minorHAnsi" w:hAnsiTheme="minorHAnsi" w:cstheme="minorHAnsi"/>
          <w:sz w:val="22"/>
        </w:rPr>
        <w:t xml:space="preserve"> to enable </w:t>
      </w:r>
      <w:r w:rsidRPr="00B52957">
        <w:rPr>
          <w:rFonts w:asciiTheme="minorHAnsi" w:hAnsiTheme="minorHAnsi" w:cstheme="minorHAnsi"/>
          <w:sz w:val="22"/>
        </w:rPr>
        <w:t xml:space="preserve">CBRN </w:t>
      </w:r>
      <w:r w:rsidR="00FB407C" w:rsidRPr="00B52957">
        <w:rPr>
          <w:rFonts w:asciiTheme="minorHAnsi" w:hAnsiTheme="minorHAnsi" w:cstheme="minorHAnsi"/>
          <w:sz w:val="22"/>
        </w:rPr>
        <w:t xml:space="preserve">hazard plume </w:t>
      </w:r>
      <w:r w:rsidRPr="00B52957">
        <w:rPr>
          <w:rFonts w:asciiTheme="minorHAnsi" w:hAnsiTheme="minorHAnsi" w:cstheme="minorHAnsi"/>
          <w:sz w:val="22"/>
        </w:rPr>
        <w:t>effects analysis with</w:t>
      </w:r>
      <w:r w:rsidR="00F35D5B" w:rsidRPr="00B52957">
        <w:rPr>
          <w:rFonts w:asciiTheme="minorHAnsi" w:hAnsiTheme="minorHAnsi" w:cstheme="minorHAnsi"/>
          <w:sz w:val="22"/>
        </w:rPr>
        <w:t xml:space="preserve"> </w:t>
      </w:r>
      <w:r w:rsidRPr="00B52957">
        <w:rPr>
          <w:rFonts w:asciiTheme="minorHAnsi" w:hAnsiTheme="minorHAnsi" w:cstheme="minorHAnsi"/>
          <w:sz w:val="22"/>
        </w:rPr>
        <w:t>transport and dispersion models</w:t>
      </w:r>
    </w:p>
    <w:p w:rsidR="00E96EE3" w:rsidRPr="00B52957" w:rsidRDefault="00E96EE3" w:rsidP="00EE1149">
      <w:pPr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Model the spread of contagious disease (Susceptible, Exposed, Infectious, Removed methods)</w:t>
      </w:r>
    </w:p>
    <w:p w:rsidR="00E96EE3" w:rsidRPr="00B52957" w:rsidRDefault="004F5EC4" w:rsidP="00EE1149">
      <w:pPr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Model biological and chemical hazard spread through transit systems (analytic</w:t>
      </w:r>
      <w:r w:rsidR="00E96EE3" w:rsidRPr="00B52957">
        <w:rPr>
          <w:rFonts w:asciiTheme="minorHAnsi" w:hAnsiTheme="minorHAnsi" w:cstheme="minorHAnsi"/>
          <w:sz w:val="22"/>
        </w:rPr>
        <w:t xml:space="preserve"> mass transfer</w:t>
      </w:r>
      <w:r w:rsidRPr="00B52957">
        <w:rPr>
          <w:rFonts w:asciiTheme="minorHAnsi" w:hAnsiTheme="minorHAnsi" w:cstheme="minorHAnsi"/>
          <w:sz w:val="22"/>
        </w:rPr>
        <w:t xml:space="preserve"> approximation methods)</w:t>
      </w:r>
      <w:bookmarkStart w:id="0" w:name="_GoBack"/>
      <w:bookmarkEnd w:id="0"/>
    </w:p>
    <w:p w:rsidR="00035DE3" w:rsidRPr="00B52957" w:rsidRDefault="0065422B" w:rsidP="00EE1149">
      <w:pPr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Us</w:t>
      </w:r>
      <w:r w:rsidR="00E347D8" w:rsidRPr="00B52957">
        <w:rPr>
          <w:rFonts w:asciiTheme="minorHAnsi" w:hAnsiTheme="minorHAnsi" w:cstheme="minorHAnsi"/>
          <w:sz w:val="22"/>
        </w:rPr>
        <w:t>e</w:t>
      </w:r>
      <w:r w:rsidRPr="00B52957">
        <w:rPr>
          <w:rFonts w:asciiTheme="minorHAnsi" w:hAnsiTheme="minorHAnsi" w:cstheme="minorHAnsi"/>
          <w:sz w:val="22"/>
        </w:rPr>
        <w:t xml:space="preserve"> a variety of analysis tools including Python, R, Mathematica, and Java Application Programming Interface hooks</w:t>
      </w:r>
      <w:r w:rsidR="00FB407C" w:rsidRPr="00B52957">
        <w:rPr>
          <w:rFonts w:asciiTheme="minorHAnsi" w:hAnsiTheme="minorHAnsi" w:cstheme="minorHAnsi"/>
          <w:sz w:val="22"/>
        </w:rPr>
        <w:t xml:space="preserve"> to enable data wrangling</w:t>
      </w:r>
      <w:r w:rsidR="002669AB" w:rsidRPr="00B52957">
        <w:rPr>
          <w:rFonts w:asciiTheme="minorHAnsi" w:hAnsiTheme="minorHAnsi" w:cstheme="minorHAnsi"/>
          <w:sz w:val="22"/>
        </w:rPr>
        <w:t>, software automation,</w:t>
      </w:r>
      <w:r w:rsidR="00FB407C" w:rsidRPr="00B52957">
        <w:rPr>
          <w:rFonts w:asciiTheme="minorHAnsi" w:hAnsiTheme="minorHAnsi" w:cstheme="minorHAnsi"/>
          <w:sz w:val="22"/>
        </w:rPr>
        <w:t xml:space="preserve"> and post-processing analysis</w:t>
      </w:r>
    </w:p>
    <w:p w:rsidR="002A5231" w:rsidRPr="00B52957" w:rsidRDefault="00035DE3" w:rsidP="00EE1149">
      <w:pPr>
        <w:tabs>
          <w:tab w:val="right" w:pos="9360"/>
        </w:tabs>
        <w:jc w:val="both"/>
        <w:rPr>
          <w:rFonts w:asciiTheme="minorHAnsi" w:hAnsiTheme="minorHAnsi" w:cstheme="minorHAnsi"/>
          <w:b/>
          <w:i/>
          <w:sz w:val="22"/>
        </w:rPr>
      </w:pPr>
      <w:r w:rsidRPr="00B52957">
        <w:rPr>
          <w:rFonts w:asciiTheme="minorHAnsi" w:hAnsiTheme="minorHAnsi" w:cstheme="minorHAnsi"/>
          <w:b/>
          <w:i/>
          <w:sz w:val="22"/>
        </w:rPr>
        <w:t>Operational Test and Evaluation Division</w:t>
      </w:r>
      <w:r w:rsidR="00B52957" w:rsidRPr="00B52957">
        <w:rPr>
          <w:rFonts w:asciiTheme="minorHAnsi" w:hAnsiTheme="minorHAnsi" w:cstheme="minorHAnsi"/>
          <w:b/>
          <w:i/>
          <w:sz w:val="22"/>
        </w:rPr>
        <w:tab/>
      </w:r>
      <w:r w:rsidRPr="00B52957">
        <w:rPr>
          <w:rFonts w:asciiTheme="minorHAnsi" w:hAnsiTheme="minorHAnsi" w:cstheme="minorHAnsi"/>
          <w:b/>
          <w:i/>
          <w:sz w:val="22"/>
        </w:rPr>
        <w:t>(</w:t>
      </w:r>
      <w:r w:rsidR="00800607" w:rsidRPr="00B52957">
        <w:rPr>
          <w:rFonts w:asciiTheme="minorHAnsi" w:hAnsiTheme="minorHAnsi" w:cstheme="minorHAnsi"/>
          <w:b/>
          <w:i/>
          <w:sz w:val="22"/>
        </w:rPr>
        <w:t>2008—</w:t>
      </w:r>
      <w:r w:rsidRPr="00B52957">
        <w:rPr>
          <w:rFonts w:asciiTheme="minorHAnsi" w:hAnsiTheme="minorHAnsi" w:cstheme="minorHAnsi"/>
          <w:b/>
          <w:i/>
          <w:sz w:val="22"/>
        </w:rPr>
        <w:t>2012)</w:t>
      </w:r>
    </w:p>
    <w:p w:rsidR="0065422B" w:rsidRPr="00B52957" w:rsidRDefault="00E347D8" w:rsidP="00EE1149">
      <w:p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S</w:t>
      </w:r>
      <w:r w:rsidR="0065422B" w:rsidRPr="00B52957">
        <w:rPr>
          <w:rFonts w:asciiTheme="minorHAnsi" w:hAnsiTheme="minorHAnsi" w:cstheme="minorHAnsi"/>
          <w:sz w:val="22"/>
        </w:rPr>
        <w:t>upport</w:t>
      </w:r>
      <w:r w:rsidRPr="00B52957">
        <w:rPr>
          <w:rFonts w:asciiTheme="minorHAnsi" w:hAnsiTheme="minorHAnsi" w:cstheme="minorHAnsi"/>
          <w:sz w:val="22"/>
        </w:rPr>
        <w:t>ed</w:t>
      </w:r>
      <w:r w:rsidR="0065422B" w:rsidRPr="00B52957">
        <w:rPr>
          <w:rFonts w:asciiTheme="minorHAnsi" w:hAnsiTheme="minorHAnsi" w:cstheme="minorHAnsi"/>
          <w:sz w:val="22"/>
        </w:rPr>
        <w:t xml:space="preserve"> the Director, Operational Test and Evaluation (</w:t>
      </w:r>
      <w:r w:rsidR="00053F71" w:rsidRPr="00B52957">
        <w:rPr>
          <w:rFonts w:asciiTheme="minorHAnsi" w:hAnsiTheme="minorHAnsi" w:cstheme="minorHAnsi"/>
          <w:sz w:val="22"/>
        </w:rPr>
        <w:t xml:space="preserve">DOT&amp;E, </w:t>
      </w:r>
      <w:r w:rsidR="0065422B" w:rsidRPr="00B52957">
        <w:rPr>
          <w:rFonts w:asciiTheme="minorHAnsi" w:hAnsiTheme="minorHAnsi" w:cstheme="minorHAnsi"/>
          <w:sz w:val="22"/>
        </w:rPr>
        <w:t>Department of Defense)</w:t>
      </w:r>
      <w:r w:rsidR="00A8205A" w:rsidRPr="00B52957">
        <w:rPr>
          <w:rFonts w:asciiTheme="minorHAnsi" w:hAnsiTheme="minorHAnsi" w:cstheme="minorHAnsi"/>
          <w:sz w:val="22"/>
        </w:rPr>
        <w:t>:</w:t>
      </w:r>
    </w:p>
    <w:p w:rsidR="0065422B" w:rsidRPr="00B52957" w:rsidRDefault="0065422B" w:rsidP="00EE1149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Represent</w:t>
      </w:r>
      <w:r w:rsidR="00E347D8" w:rsidRPr="00B52957">
        <w:rPr>
          <w:rFonts w:asciiTheme="minorHAnsi" w:hAnsiTheme="minorHAnsi" w:cstheme="minorHAnsi"/>
          <w:sz w:val="22"/>
        </w:rPr>
        <w:t>ed</w:t>
      </w:r>
      <w:r w:rsidRPr="00B52957">
        <w:rPr>
          <w:rFonts w:asciiTheme="minorHAnsi" w:hAnsiTheme="minorHAnsi" w:cstheme="minorHAnsi"/>
          <w:sz w:val="22"/>
        </w:rPr>
        <w:t xml:space="preserve"> the director and his deputies in all branches of the test and evaluation acquisition community</w:t>
      </w:r>
    </w:p>
    <w:p w:rsidR="0065422B" w:rsidRPr="00B52957" w:rsidRDefault="0065422B" w:rsidP="00EE1149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Observ</w:t>
      </w:r>
      <w:r w:rsidR="00E347D8" w:rsidRPr="00B52957">
        <w:rPr>
          <w:rFonts w:asciiTheme="minorHAnsi" w:hAnsiTheme="minorHAnsi" w:cstheme="minorHAnsi"/>
          <w:sz w:val="22"/>
        </w:rPr>
        <w:t>ed</w:t>
      </w:r>
      <w:r w:rsidRPr="00B52957">
        <w:rPr>
          <w:rFonts w:asciiTheme="minorHAnsi" w:hAnsiTheme="minorHAnsi" w:cstheme="minorHAnsi"/>
          <w:sz w:val="22"/>
        </w:rPr>
        <w:t xml:space="preserve"> first hand and objectively evaluat</w:t>
      </w:r>
      <w:r w:rsidR="00E347D8" w:rsidRPr="00B52957">
        <w:rPr>
          <w:rFonts w:asciiTheme="minorHAnsi" w:hAnsiTheme="minorHAnsi" w:cstheme="minorHAnsi"/>
          <w:sz w:val="22"/>
        </w:rPr>
        <w:t>ed</w:t>
      </w:r>
      <w:r w:rsidRPr="00B52957">
        <w:rPr>
          <w:rFonts w:asciiTheme="minorHAnsi" w:hAnsiTheme="minorHAnsi" w:cstheme="minorHAnsi"/>
          <w:sz w:val="22"/>
        </w:rPr>
        <w:t xml:space="preserve"> operational system tests (primarily Unmanned Aerial Vehicles)—providing my assessment for the director’s recommendation to Congress </w:t>
      </w:r>
    </w:p>
    <w:p w:rsidR="0065422B" w:rsidRPr="00B52957" w:rsidRDefault="0065422B" w:rsidP="00EE1149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Provid</w:t>
      </w:r>
      <w:r w:rsidR="00E347D8" w:rsidRPr="00B52957">
        <w:rPr>
          <w:rFonts w:asciiTheme="minorHAnsi" w:hAnsiTheme="minorHAnsi" w:cstheme="minorHAnsi"/>
          <w:sz w:val="22"/>
        </w:rPr>
        <w:t>ed</w:t>
      </w:r>
      <w:r w:rsidRPr="00B52957">
        <w:rPr>
          <w:rFonts w:asciiTheme="minorHAnsi" w:hAnsiTheme="minorHAnsi" w:cstheme="minorHAnsi"/>
          <w:sz w:val="22"/>
        </w:rPr>
        <w:t xml:space="preserve"> technical guidance, support in test planning, and analytic analysis to the acquisition community and Director using a variety of </w:t>
      </w:r>
      <w:r w:rsidR="00A63878" w:rsidRPr="00B52957">
        <w:rPr>
          <w:rFonts w:asciiTheme="minorHAnsi" w:hAnsiTheme="minorHAnsi" w:cstheme="minorHAnsi"/>
          <w:sz w:val="22"/>
        </w:rPr>
        <w:t>quantitative techniques</w:t>
      </w:r>
      <w:r w:rsidRPr="00B52957">
        <w:rPr>
          <w:rFonts w:asciiTheme="minorHAnsi" w:hAnsiTheme="minorHAnsi" w:cstheme="minorHAnsi"/>
          <w:sz w:val="22"/>
        </w:rPr>
        <w:t xml:space="preserve"> including </w:t>
      </w:r>
      <w:r w:rsidR="00A63878" w:rsidRPr="00B52957">
        <w:rPr>
          <w:rFonts w:asciiTheme="minorHAnsi" w:hAnsiTheme="minorHAnsi" w:cstheme="minorHAnsi"/>
          <w:sz w:val="22"/>
        </w:rPr>
        <w:t>Design of Experiments, Reliability Growth, and</w:t>
      </w:r>
      <w:r w:rsidR="00FB407C" w:rsidRPr="00B52957">
        <w:rPr>
          <w:rFonts w:asciiTheme="minorHAnsi" w:hAnsiTheme="minorHAnsi" w:cstheme="minorHAnsi"/>
          <w:sz w:val="22"/>
        </w:rPr>
        <w:t xml:space="preserve"> post-test analysis (</w:t>
      </w:r>
      <w:r w:rsidR="00A15B90" w:rsidRPr="00B52957">
        <w:rPr>
          <w:rFonts w:asciiTheme="minorHAnsi" w:hAnsiTheme="minorHAnsi" w:cstheme="minorHAnsi"/>
          <w:sz w:val="22"/>
        </w:rPr>
        <w:t>e.g. Monte Carlo estimations of equipment availability</w:t>
      </w:r>
      <w:r w:rsidR="00FB407C" w:rsidRPr="00B52957">
        <w:rPr>
          <w:rFonts w:asciiTheme="minorHAnsi" w:hAnsiTheme="minorHAnsi" w:cstheme="minorHAnsi"/>
          <w:sz w:val="22"/>
        </w:rPr>
        <w:t>)</w:t>
      </w:r>
    </w:p>
    <w:p w:rsidR="002A5231" w:rsidRPr="00B52957" w:rsidRDefault="00E347D8" w:rsidP="00EE1149">
      <w:p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S</w:t>
      </w:r>
      <w:r w:rsidR="00A8205A" w:rsidRPr="00B52957">
        <w:rPr>
          <w:rFonts w:asciiTheme="minorHAnsi" w:hAnsiTheme="minorHAnsi" w:cstheme="minorHAnsi"/>
          <w:sz w:val="22"/>
        </w:rPr>
        <w:t>upport</w:t>
      </w:r>
      <w:r w:rsidRPr="00B52957">
        <w:rPr>
          <w:rFonts w:asciiTheme="minorHAnsi" w:hAnsiTheme="minorHAnsi" w:cstheme="minorHAnsi"/>
          <w:sz w:val="22"/>
        </w:rPr>
        <w:t>ed</w:t>
      </w:r>
      <w:r w:rsidR="00A8205A" w:rsidRPr="00B52957">
        <w:rPr>
          <w:rFonts w:asciiTheme="minorHAnsi" w:hAnsiTheme="minorHAnsi" w:cstheme="minorHAnsi"/>
          <w:sz w:val="22"/>
        </w:rPr>
        <w:t xml:space="preserve"> </w:t>
      </w:r>
      <w:r w:rsidR="002A5231" w:rsidRPr="00B52957">
        <w:rPr>
          <w:rFonts w:asciiTheme="minorHAnsi" w:hAnsiTheme="minorHAnsi" w:cstheme="minorHAnsi"/>
          <w:sz w:val="22"/>
        </w:rPr>
        <w:t>the Director, Office of SAFETY Act Implementation (Department of Homeland Security)</w:t>
      </w:r>
      <w:r w:rsidRPr="00B52957">
        <w:rPr>
          <w:rFonts w:asciiTheme="minorHAnsi" w:hAnsiTheme="minorHAnsi" w:cstheme="minorHAnsi"/>
          <w:sz w:val="22"/>
        </w:rPr>
        <w:t>:</w:t>
      </w:r>
    </w:p>
    <w:p w:rsidR="0065422B" w:rsidRPr="00B52957" w:rsidRDefault="00DE0C45" w:rsidP="00EE1149">
      <w:pPr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Provid</w:t>
      </w:r>
      <w:r w:rsidR="00E347D8" w:rsidRPr="00B52957">
        <w:rPr>
          <w:rFonts w:asciiTheme="minorHAnsi" w:hAnsiTheme="minorHAnsi" w:cstheme="minorHAnsi"/>
          <w:sz w:val="22"/>
        </w:rPr>
        <w:t>ed</w:t>
      </w:r>
      <w:r w:rsidRPr="00B52957">
        <w:rPr>
          <w:rFonts w:asciiTheme="minorHAnsi" w:hAnsiTheme="minorHAnsi" w:cstheme="minorHAnsi"/>
          <w:sz w:val="22"/>
        </w:rPr>
        <w:t xml:space="preserve"> consolidated technical r</w:t>
      </w:r>
      <w:r w:rsidR="00A15B90" w:rsidRPr="00B52957">
        <w:rPr>
          <w:rFonts w:asciiTheme="minorHAnsi" w:hAnsiTheme="minorHAnsi" w:cstheme="minorHAnsi"/>
          <w:sz w:val="22"/>
        </w:rPr>
        <w:t xml:space="preserve">eview and evaluation through a </w:t>
      </w:r>
      <w:r w:rsidRPr="00B52957">
        <w:rPr>
          <w:rFonts w:asciiTheme="minorHAnsi" w:hAnsiTheme="minorHAnsi" w:cstheme="minorHAnsi"/>
          <w:sz w:val="22"/>
        </w:rPr>
        <w:t xml:space="preserve">brief to the Director </w:t>
      </w:r>
      <w:r w:rsidR="00FB407C" w:rsidRPr="00B52957">
        <w:rPr>
          <w:rFonts w:asciiTheme="minorHAnsi" w:hAnsiTheme="minorHAnsi" w:cstheme="minorHAnsi"/>
          <w:sz w:val="22"/>
        </w:rPr>
        <w:t>to enable</w:t>
      </w:r>
      <w:r w:rsidRPr="00B52957">
        <w:rPr>
          <w:rFonts w:asciiTheme="minorHAnsi" w:hAnsiTheme="minorHAnsi" w:cstheme="minorHAnsi"/>
          <w:sz w:val="22"/>
        </w:rPr>
        <w:t xml:space="preserve"> informed decision to grant or deny limited liability status to anti-terrorism technology</w:t>
      </w:r>
    </w:p>
    <w:p w:rsidR="00DE0C45" w:rsidRPr="00B52957" w:rsidRDefault="00DE0C45" w:rsidP="00EE1149">
      <w:pPr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Develop</w:t>
      </w:r>
      <w:r w:rsidR="00E347D8" w:rsidRPr="00B52957">
        <w:rPr>
          <w:rFonts w:asciiTheme="minorHAnsi" w:hAnsiTheme="minorHAnsi" w:cstheme="minorHAnsi"/>
          <w:sz w:val="22"/>
        </w:rPr>
        <w:t>ed</w:t>
      </w:r>
      <w:r w:rsidRPr="00B52957">
        <w:rPr>
          <w:rFonts w:asciiTheme="minorHAnsi" w:hAnsiTheme="minorHAnsi" w:cstheme="minorHAnsi"/>
          <w:sz w:val="22"/>
        </w:rPr>
        <w:t xml:space="preserve"> policy and pro</w:t>
      </w:r>
      <w:r w:rsidR="007E0BB8" w:rsidRPr="00B52957">
        <w:rPr>
          <w:rFonts w:asciiTheme="minorHAnsi" w:hAnsiTheme="minorHAnsi" w:cstheme="minorHAnsi"/>
          <w:sz w:val="22"/>
        </w:rPr>
        <w:t>cedure to ensure consistent and unbiased analysis</w:t>
      </w:r>
    </w:p>
    <w:p w:rsidR="00DE0C45" w:rsidRPr="00B52957" w:rsidRDefault="00DE0C45" w:rsidP="00EE1149">
      <w:pPr>
        <w:jc w:val="both"/>
        <w:rPr>
          <w:rFonts w:asciiTheme="minorHAnsi" w:hAnsiTheme="minorHAnsi" w:cstheme="minorHAnsi"/>
          <w:sz w:val="22"/>
        </w:rPr>
      </w:pPr>
    </w:p>
    <w:p w:rsidR="00DE0C45" w:rsidRPr="004878D4" w:rsidRDefault="00DE0C45" w:rsidP="00EE1149">
      <w:pPr>
        <w:tabs>
          <w:tab w:val="right" w:pos="9360"/>
        </w:tabs>
        <w:jc w:val="both"/>
        <w:rPr>
          <w:rFonts w:asciiTheme="minorHAnsi" w:hAnsiTheme="minorHAnsi" w:cstheme="minorHAnsi"/>
          <w:b/>
          <w:sz w:val="28"/>
        </w:rPr>
      </w:pPr>
      <w:r w:rsidRPr="004878D4">
        <w:rPr>
          <w:rFonts w:asciiTheme="minorHAnsi" w:hAnsiTheme="minorHAnsi" w:cstheme="minorHAnsi"/>
          <w:b/>
          <w:sz w:val="28"/>
        </w:rPr>
        <w:t>The Pennsylvania State University</w:t>
      </w:r>
      <w:r w:rsidR="00B52957" w:rsidRPr="004878D4">
        <w:rPr>
          <w:rFonts w:asciiTheme="minorHAnsi" w:hAnsiTheme="minorHAnsi" w:cstheme="minorHAnsi"/>
          <w:b/>
          <w:sz w:val="28"/>
        </w:rPr>
        <w:tab/>
      </w:r>
      <w:r w:rsidR="005B00E9" w:rsidRPr="004878D4">
        <w:rPr>
          <w:rFonts w:asciiTheme="minorHAnsi" w:hAnsiTheme="minorHAnsi" w:cstheme="minorHAnsi"/>
          <w:b/>
          <w:sz w:val="28"/>
        </w:rPr>
        <w:t>(2003—2008)</w:t>
      </w:r>
    </w:p>
    <w:p w:rsidR="00A8205A" w:rsidRPr="00B52957" w:rsidRDefault="00A8205A" w:rsidP="00EE1149">
      <w:pPr>
        <w:jc w:val="both"/>
        <w:rPr>
          <w:rFonts w:asciiTheme="minorHAnsi" w:hAnsiTheme="minorHAnsi" w:cstheme="minorHAnsi"/>
          <w:b/>
          <w:sz w:val="22"/>
        </w:rPr>
      </w:pPr>
      <w:r w:rsidRPr="00B52957">
        <w:rPr>
          <w:rFonts w:asciiTheme="minorHAnsi" w:hAnsiTheme="minorHAnsi" w:cstheme="minorHAnsi"/>
          <w:b/>
          <w:i/>
          <w:sz w:val="22"/>
        </w:rPr>
        <w:t>Department of Chemical Engineering, PhD Candidate</w:t>
      </w:r>
    </w:p>
    <w:p w:rsidR="00DE0C45" w:rsidRPr="00B52957" w:rsidRDefault="00A8205A" w:rsidP="00EE1149">
      <w:p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PhD</w:t>
      </w:r>
      <w:r w:rsidR="00DE0C45" w:rsidRPr="00B52957">
        <w:rPr>
          <w:rFonts w:asciiTheme="minorHAnsi" w:hAnsiTheme="minorHAnsi" w:cstheme="minorHAnsi"/>
          <w:sz w:val="22"/>
        </w:rPr>
        <w:t xml:space="preserve"> Thesis</w:t>
      </w:r>
      <w:r w:rsidRPr="00B52957">
        <w:rPr>
          <w:rFonts w:asciiTheme="minorHAnsi" w:hAnsiTheme="minorHAnsi" w:cstheme="minorHAnsi"/>
          <w:sz w:val="22"/>
        </w:rPr>
        <w:t>—</w:t>
      </w:r>
      <w:r w:rsidR="00DE0C45" w:rsidRPr="00B52957">
        <w:rPr>
          <w:rFonts w:asciiTheme="minorHAnsi" w:hAnsiTheme="minorHAnsi" w:cstheme="minorHAnsi"/>
          <w:sz w:val="22"/>
        </w:rPr>
        <w:t>Controlling Colloidal Interactions: Fabrication of Colloidal Assemblies Using Particle Lithography</w:t>
      </w:r>
      <w:r w:rsidRPr="00B52957">
        <w:rPr>
          <w:rFonts w:asciiTheme="minorHAnsi" w:hAnsiTheme="minorHAnsi" w:cstheme="minorHAnsi"/>
          <w:sz w:val="22"/>
        </w:rPr>
        <w:t>:</w:t>
      </w:r>
    </w:p>
    <w:p w:rsidR="00A8205A" w:rsidRPr="00B52957" w:rsidRDefault="00FB407C" w:rsidP="00EE1149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Use</w:t>
      </w:r>
      <w:r w:rsidR="005B00E9" w:rsidRPr="00B52957">
        <w:rPr>
          <w:rFonts w:asciiTheme="minorHAnsi" w:hAnsiTheme="minorHAnsi" w:cstheme="minorHAnsi"/>
          <w:sz w:val="22"/>
        </w:rPr>
        <w:t>d</w:t>
      </w:r>
      <w:r w:rsidR="00A8205A" w:rsidRPr="00B52957">
        <w:rPr>
          <w:rFonts w:asciiTheme="minorHAnsi" w:hAnsiTheme="minorHAnsi" w:cstheme="minorHAnsi"/>
          <w:sz w:val="22"/>
        </w:rPr>
        <w:t xml:space="preserve"> of a variety of experimental techniques including nanoparticle synthesis, electron and optical microscopy, </w:t>
      </w:r>
      <w:r w:rsidR="007E0BB8" w:rsidRPr="00B52957">
        <w:rPr>
          <w:rFonts w:asciiTheme="minorHAnsi" w:hAnsiTheme="minorHAnsi" w:cstheme="minorHAnsi"/>
          <w:sz w:val="22"/>
        </w:rPr>
        <w:t>nanoparticle and colloidal particle characterization (e.g., surface charge, size distribution), particle isolation with density gradient centrifugation</w:t>
      </w:r>
    </w:p>
    <w:p w:rsidR="007E0BB8" w:rsidRPr="00B52957" w:rsidRDefault="002669AB" w:rsidP="00EE1149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Drove</w:t>
      </w:r>
      <w:r w:rsidR="007E0BB8" w:rsidRPr="00B52957">
        <w:rPr>
          <w:rFonts w:asciiTheme="minorHAnsi" w:hAnsiTheme="minorHAnsi" w:cstheme="minorHAnsi"/>
          <w:sz w:val="22"/>
        </w:rPr>
        <w:t xml:space="preserve"> experiment through modeling such a</w:t>
      </w:r>
      <w:r w:rsidR="002D4E6C" w:rsidRPr="00B52957">
        <w:rPr>
          <w:rFonts w:asciiTheme="minorHAnsi" w:hAnsiTheme="minorHAnsi" w:cstheme="minorHAnsi"/>
          <w:sz w:val="22"/>
        </w:rPr>
        <w:t>s Brownian dynamic simulation, n</w:t>
      </w:r>
      <w:r w:rsidR="007E0BB8" w:rsidRPr="00B52957">
        <w:rPr>
          <w:rFonts w:asciiTheme="minorHAnsi" w:hAnsiTheme="minorHAnsi" w:cstheme="minorHAnsi"/>
          <w:sz w:val="22"/>
        </w:rPr>
        <w:t>umerical analysis of asymmetrically functionalized colloidal interactions (van der Waals, electrostatic, and depletion induced forces), and Green’s function use to characterize quorum sensing bacteria</w:t>
      </w:r>
    </w:p>
    <w:p w:rsidR="005B00E9" w:rsidRPr="00B52957" w:rsidRDefault="005B00E9" w:rsidP="00EE1149">
      <w:pPr>
        <w:jc w:val="both"/>
        <w:rPr>
          <w:rFonts w:asciiTheme="minorHAnsi" w:hAnsiTheme="minorHAnsi" w:cstheme="minorHAnsi"/>
          <w:b/>
          <w:sz w:val="22"/>
        </w:rPr>
      </w:pPr>
    </w:p>
    <w:p w:rsidR="002669AB" w:rsidRPr="004878D4" w:rsidRDefault="006B14B6" w:rsidP="00EE1149">
      <w:pPr>
        <w:jc w:val="both"/>
        <w:rPr>
          <w:rFonts w:asciiTheme="minorHAnsi" w:hAnsiTheme="minorHAnsi" w:cstheme="minorHAnsi"/>
          <w:sz w:val="28"/>
          <w:szCs w:val="28"/>
        </w:rPr>
      </w:pPr>
      <w:r w:rsidRPr="004878D4">
        <w:rPr>
          <w:rFonts w:asciiTheme="minorHAnsi" w:hAnsiTheme="minorHAnsi" w:cstheme="minorHAnsi"/>
          <w:b/>
          <w:sz w:val="28"/>
          <w:szCs w:val="28"/>
        </w:rPr>
        <w:t>Experience</w:t>
      </w:r>
      <w:r w:rsidR="00453DCE" w:rsidRPr="004878D4">
        <w:rPr>
          <w:rFonts w:asciiTheme="minorHAnsi" w:hAnsiTheme="minorHAnsi" w:cstheme="minorHAnsi"/>
          <w:b/>
          <w:sz w:val="28"/>
          <w:szCs w:val="28"/>
        </w:rPr>
        <w:t xml:space="preserve"> Specific to Education</w:t>
      </w:r>
    </w:p>
    <w:p w:rsidR="006B14B6" w:rsidRPr="00B52957" w:rsidRDefault="006B14B6" w:rsidP="00EE1149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b/>
          <w:sz w:val="22"/>
        </w:rPr>
        <w:t>(present)</w:t>
      </w:r>
      <w:r w:rsidRPr="00B52957">
        <w:rPr>
          <w:rFonts w:asciiTheme="minorHAnsi" w:hAnsiTheme="minorHAnsi" w:cstheme="minorHAnsi"/>
          <w:sz w:val="22"/>
        </w:rPr>
        <w:t xml:space="preserve"> Demonstrated and presented on the inner-workings of a home-build 3D printer at the Institute for Defense Analyses Science Fair for students of all ages</w:t>
      </w:r>
    </w:p>
    <w:p w:rsidR="006B14B6" w:rsidRPr="00B52957" w:rsidRDefault="006B14B6" w:rsidP="00EE1149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b/>
          <w:sz w:val="22"/>
        </w:rPr>
        <w:lastRenderedPageBreak/>
        <w:t xml:space="preserve">(2008-present) </w:t>
      </w:r>
      <w:r w:rsidRPr="00B52957">
        <w:rPr>
          <w:rFonts w:asciiTheme="minorHAnsi" w:hAnsiTheme="minorHAnsi" w:cstheme="minorHAnsi"/>
          <w:sz w:val="22"/>
        </w:rPr>
        <w:t xml:space="preserve">Tutored college-bound students in math, physics, and chemistry through the Building Better Futures program—partnered with the Alexandria, Virginia public school system </w:t>
      </w:r>
    </w:p>
    <w:p w:rsidR="006B14B6" w:rsidRPr="00B52957" w:rsidRDefault="006B14B6" w:rsidP="006764A1">
      <w:pPr>
        <w:numPr>
          <w:ilvl w:val="0"/>
          <w:numId w:val="18"/>
        </w:numPr>
        <w:jc w:val="both"/>
        <w:rPr>
          <w:rFonts w:asciiTheme="minorHAnsi" w:hAnsiTheme="minorHAnsi" w:cstheme="minorHAnsi"/>
          <w:b/>
          <w:sz w:val="22"/>
        </w:rPr>
      </w:pPr>
      <w:r w:rsidRPr="00B52957">
        <w:rPr>
          <w:rFonts w:asciiTheme="minorHAnsi" w:hAnsiTheme="minorHAnsi" w:cstheme="minorHAnsi"/>
          <w:b/>
          <w:sz w:val="22"/>
        </w:rPr>
        <w:t xml:space="preserve"> (2014) </w:t>
      </w:r>
      <w:r w:rsidRPr="00B52957">
        <w:rPr>
          <w:rFonts w:asciiTheme="minorHAnsi" w:hAnsiTheme="minorHAnsi" w:cstheme="minorHAnsi"/>
          <w:sz w:val="22"/>
        </w:rPr>
        <w:t xml:space="preserve">Designed and taught a </w:t>
      </w:r>
      <w:r w:rsidR="00453DCE" w:rsidRPr="00B52957">
        <w:rPr>
          <w:rFonts w:asciiTheme="minorHAnsi" w:hAnsiTheme="minorHAnsi" w:cstheme="minorHAnsi"/>
          <w:sz w:val="22"/>
        </w:rPr>
        <w:t>40-hour</w:t>
      </w:r>
      <w:r w:rsidRPr="00B52957">
        <w:rPr>
          <w:rFonts w:asciiTheme="minorHAnsi" w:hAnsiTheme="minorHAnsi" w:cstheme="minorHAnsi"/>
          <w:sz w:val="22"/>
        </w:rPr>
        <w:t xml:space="preserve"> summer course for the Joint Science and Technology Institute—exposing college-bound students to basic programming (spreadsheet- and Python-based), statistics (to include bootstrapping), calculus, and transport and dispersion phenomena (see </w:t>
      </w:r>
      <w:hyperlink r:id="rId8" w:history="1">
        <w:r w:rsidR="006764A1" w:rsidRPr="00C36D8E">
          <w:rPr>
            <w:rStyle w:val="Hyperlink"/>
          </w:rPr>
          <w:t>https://github.com/csnyd/Public2016/</w:t>
        </w:r>
      </w:hyperlink>
      <w:r w:rsidR="00DD3607">
        <w:rPr>
          <w:rFonts w:asciiTheme="minorHAnsi" w:hAnsiTheme="minorHAnsi" w:cstheme="minorHAnsi"/>
          <w:sz w:val="22"/>
        </w:rPr>
        <w:t>:</w:t>
      </w:r>
      <w:r w:rsidR="006764A1">
        <w:rPr>
          <w:rFonts w:asciiTheme="minorHAnsi" w:hAnsiTheme="minorHAnsi" w:cstheme="minorHAnsi"/>
          <w:sz w:val="22"/>
        </w:rPr>
        <w:t xml:space="preserve"> </w:t>
      </w:r>
      <w:r w:rsidR="006764A1" w:rsidRPr="006764A1">
        <w:rPr>
          <w:rFonts w:asciiTheme="minorHAnsi" w:hAnsiTheme="minorHAnsi" w:cstheme="minorHAnsi"/>
          <w:sz w:val="22"/>
        </w:rPr>
        <w:t>JSTINotes.xlsx</w:t>
      </w:r>
      <w:r w:rsidR="006764A1">
        <w:rPr>
          <w:rFonts w:asciiTheme="minorHAnsi" w:hAnsiTheme="minorHAnsi" w:cstheme="minorHAnsi"/>
          <w:sz w:val="22"/>
        </w:rPr>
        <w:t xml:space="preserve"> for curriculum notes and </w:t>
      </w:r>
      <w:r w:rsidR="006764A1" w:rsidRPr="006764A1">
        <w:rPr>
          <w:rFonts w:asciiTheme="minorHAnsi" w:hAnsiTheme="minorHAnsi" w:cstheme="minorHAnsi"/>
          <w:sz w:val="22"/>
        </w:rPr>
        <w:t>LinkToBootstrappingTutorial.txt</w:t>
      </w:r>
      <w:r w:rsidR="006764A1">
        <w:rPr>
          <w:rFonts w:asciiTheme="minorHAnsi" w:hAnsiTheme="minorHAnsi" w:cstheme="minorHAnsi"/>
          <w:sz w:val="22"/>
        </w:rPr>
        <w:t xml:space="preserve"> for sample lecture</w:t>
      </w:r>
      <w:r w:rsidRPr="00B52957">
        <w:rPr>
          <w:rFonts w:asciiTheme="minorHAnsi" w:hAnsiTheme="minorHAnsi" w:cstheme="minorHAnsi"/>
          <w:sz w:val="22"/>
        </w:rPr>
        <w:t>)</w:t>
      </w:r>
    </w:p>
    <w:p w:rsidR="006B14B6" w:rsidRPr="00B52957" w:rsidRDefault="005B00E9" w:rsidP="00EE1149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b/>
          <w:sz w:val="22"/>
        </w:rPr>
        <w:t xml:space="preserve">(2007) </w:t>
      </w:r>
      <w:r w:rsidR="0055373E" w:rsidRPr="00B52957">
        <w:rPr>
          <w:rFonts w:asciiTheme="minorHAnsi" w:hAnsiTheme="minorHAnsi" w:cstheme="minorHAnsi"/>
          <w:sz w:val="22"/>
        </w:rPr>
        <w:t>In addition to graduate teaching assistant responsibilities, through the Graduate Teaching Fellow Award at the Pennsylvania State University</w:t>
      </w:r>
      <w:r w:rsidR="00FB407C" w:rsidRPr="00B52957">
        <w:rPr>
          <w:rFonts w:asciiTheme="minorHAnsi" w:hAnsiTheme="minorHAnsi" w:cstheme="minorHAnsi"/>
          <w:sz w:val="22"/>
        </w:rPr>
        <w:t xml:space="preserve">: </w:t>
      </w:r>
      <w:r w:rsidR="007E0BB8" w:rsidRPr="00B52957">
        <w:rPr>
          <w:rFonts w:asciiTheme="minorHAnsi" w:hAnsiTheme="minorHAnsi" w:cstheme="minorHAnsi"/>
          <w:sz w:val="22"/>
        </w:rPr>
        <w:t>co-taught “Biomedical Separation” under the Chemical Engineering department head</w:t>
      </w:r>
    </w:p>
    <w:p w:rsidR="0055373E" w:rsidRPr="00B52957" w:rsidRDefault="0055373E" w:rsidP="00EE1149">
      <w:pPr>
        <w:ind w:left="1080"/>
        <w:jc w:val="both"/>
        <w:rPr>
          <w:rFonts w:asciiTheme="minorHAnsi" w:hAnsiTheme="minorHAnsi" w:cstheme="minorHAnsi"/>
          <w:sz w:val="22"/>
        </w:rPr>
      </w:pPr>
    </w:p>
    <w:p w:rsidR="000B552A" w:rsidRPr="004878D4" w:rsidRDefault="007E0BB8" w:rsidP="004878D4">
      <w:pPr>
        <w:jc w:val="center"/>
        <w:rPr>
          <w:rFonts w:asciiTheme="minorHAnsi" w:hAnsiTheme="minorHAnsi" w:cstheme="minorHAnsi"/>
          <w:b/>
          <w:sz w:val="40"/>
          <w:szCs w:val="22"/>
        </w:rPr>
      </w:pPr>
      <w:r w:rsidRPr="004878D4">
        <w:rPr>
          <w:rFonts w:asciiTheme="minorHAnsi" w:hAnsiTheme="minorHAnsi" w:cstheme="minorHAnsi"/>
          <w:b/>
          <w:sz w:val="40"/>
          <w:szCs w:val="22"/>
        </w:rPr>
        <w:t>EDUCATION</w:t>
      </w:r>
    </w:p>
    <w:p w:rsidR="007E0BB8" w:rsidRPr="00AF56DD" w:rsidRDefault="007E0BB8" w:rsidP="00AF56DD">
      <w:pPr>
        <w:tabs>
          <w:tab w:val="right" w:pos="9360"/>
        </w:tabs>
        <w:jc w:val="both"/>
        <w:rPr>
          <w:rFonts w:asciiTheme="minorHAnsi" w:hAnsiTheme="minorHAnsi" w:cstheme="minorHAnsi"/>
          <w:sz w:val="28"/>
        </w:rPr>
      </w:pPr>
      <w:r w:rsidRPr="00AF56DD">
        <w:rPr>
          <w:rFonts w:asciiTheme="minorHAnsi" w:hAnsiTheme="minorHAnsi" w:cstheme="minorHAnsi"/>
          <w:b/>
          <w:sz w:val="28"/>
        </w:rPr>
        <w:t xml:space="preserve">The Pennsylvania State University, </w:t>
      </w:r>
      <w:r w:rsidR="008B20B4" w:rsidRPr="00AF56DD">
        <w:rPr>
          <w:rFonts w:asciiTheme="minorHAnsi" w:hAnsiTheme="minorHAnsi" w:cstheme="minorHAnsi"/>
          <w:b/>
          <w:sz w:val="28"/>
        </w:rPr>
        <w:t>PhD</w:t>
      </w:r>
      <w:r w:rsidRPr="00AF56DD">
        <w:rPr>
          <w:rFonts w:asciiTheme="minorHAnsi" w:hAnsiTheme="minorHAnsi" w:cstheme="minorHAnsi"/>
          <w:b/>
          <w:sz w:val="28"/>
        </w:rPr>
        <w:t xml:space="preserve"> in Chemical Engineering</w:t>
      </w:r>
      <w:r w:rsidR="008B20B4" w:rsidRPr="00AF56DD">
        <w:rPr>
          <w:rFonts w:asciiTheme="minorHAnsi" w:hAnsiTheme="minorHAnsi" w:cstheme="minorHAnsi"/>
          <w:b/>
          <w:sz w:val="28"/>
        </w:rPr>
        <w:t xml:space="preserve"> </w:t>
      </w:r>
      <w:r w:rsidR="00AF56DD" w:rsidRPr="00AF56DD">
        <w:rPr>
          <w:rFonts w:asciiTheme="minorHAnsi" w:hAnsiTheme="minorHAnsi" w:cstheme="minorHAnsi"/>
          <w:b/>
          <w:sz w:val="28"/>
        </w:rPr>
        <w:tab/>
      </w:r>
      <w:r w:rsidRPr="00AF56DD">
        <w:rPr>
          <w:rFonts w:asciiTheme="minorHAnsi" w:hAnsiTheme="minorHAnsi" w:cstheme="minorHAnsi"/>
          <w:b/>
          <w:sz w:val="28"/>
        </w:rPr>
        <w:t>May 2008</w:t>
      </w:r>
    </w:p>
    <w:p w:rsidR="007E0BB8" w:rsidRPr="00AF56DD" w:rsidRDefault="007E0BB8" w:rsidP="00AF56DD">
      <w:pPr>
        <w:tabs>
          <w:tab w:val="right" w:pos="9360"/>
        </w:tabs>
        <w:jc w:val="both"/>
        <w:rPr>
          <w:rFonts w:asciiTheme="minorHAnsi" w:hAnsiTheme="minorHAnsi" w:cstheme="minorHAnsi"/>
          <w:sz w:val="28"/>
        </w:rPr>
      </w:pPr>
      <w:r w:rsidRPr="00AF56DD">
        <w:rPr>
          <w:rFonts w:asciiTheme="minorHAnsi" w:hAnsiTheme="minorHAnsi" w:cstheme="minorHAnsi"/>
          <w:b/>
          <w:sz w:val="28"/>
        </w:rPr>
        <w:t xml:space="preserve">Case Western Reserve University, </w:t>
      </w:r>
      <w:r w:rsidR="00053F71" w:rsidRPr="00AF56DD">
        <w:rPr>
          <w:rFonts w:asciiTheme="minorHAnsi" w:hAnsiTheme="minorHAnsi" w:cstheme="minorHAnsi"/>
          <w:b/>
          <w:sz w:val="28"/>
        </w:rPr>
        <w:t>BS</w:t>
      </w:r>
      <w:r w:rsidR="008B20B4" w:rsidRPr="00AF56DD">
        <w:rPr>
          <w:rFonts w:asciiTheme="minorHAnsi" w:hAnsiTheme="minorHAnsi" w:cstheme="minorHAnsi"/>
          <w:b/>
          <w:sz w:val="28"/>
        </w:rPr>
        <w:t xml:space="preserve"> in Chemical Engineering</w:t>
      </w:r>
      <w:r w:rsidR="00AF56DD">
        <w:rPr>
          <w:rFonts w:asciiTheme="minorHAnsi" w:hAnsiTheme="minorHAnsi" w:cstheme="minorHAnsi"/>
          <w:b/>
          <w:sz w:val="28"/>
        </w:rPr>
        <w:tab/>
      </w:r>
      <w:r w:rsidR="008B20B4" w:rsidRPr="00AF56DD">
        <w:rPr>
          <w:rFonts w:asciiTheme="minorHAnsi" w:hAnsiTheme="minorHAnsi" w:cstheme="minorHAnsi"/>
          <w:b/>
          <w:sz w:val="28"/>
        </w:rPr>
        <w:t xml:space="preserve"> </w:t>
      </w:r>
      <w:r w:rsidRPr="00AF56DD">
        <w:rPr>
          <w:rFonts w:asciiTheme="minorHAnsi" w:hAnsiTheme="minorHAnsi" w:cstheme="minorHAnsi"/>
          <w:b/>
          <w:sz w:val="28"/>
        </w:rPr>
        <w:t>May 2003</w:t>
      </w:r>
    </w:p>
    <w:p w:rsidR="00053F71" w:rsidRPr="00B52957" w:rsidRDefault="00053F71" w:rsidP="00EE1149">
      <w:pPr>
        <w:jc w:val="both"/>
        <w:rPr>
          <w:rFonts w:asciiTheme="minorHAnsi" w:hAnsiTheme="minorHAnsi" w:cstheme="minorHAnsi"/>
          <w:b/>
          <w:sz w:val="22"/>
        </w:rPr>
      </w:pPr>
      <w:r w:rsidRPr="00AF56DD">
        <w:rPr>
          <w:rFonts w:asciiTheme="minorHAnsi" w:hAnsiTheme="minorHAnsi" w:cstheme="minorHAnsi"/>
          <w:b/>
          <w:sz w:val="28"/>
        </w:rPr>
        <w:t>Continuous post-graduate development includes</w:t>
      </w:r>
      <w:r w:rsidRPr="00B52957">
        <w:rPr>
          <w:rFonts w:asciiTheme="minorHAnsi" w:hAnsiTheme="minorHAnsi" w:cstheme="minorHAnsi"/>
          <w:b/>
          <w:sz w:val="22"/>
        </w:rPr>
        <w:t>:</w:t>
      </w:r>
    </w:p>
    <w:p w:rsidR="00053F71" w:rsidRPr="00B52957" w:rsidRDefault="00053F71" w:rsidP="00EE1149">
      <w:pPr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IDA sponsored education:</w:t>
      </w:r>
    </w:p>
    <w:p w:rsidR="00053F71" w:rsidRPr="00B52957" w:rsidRDefault="00053F71" w:rsidP="00EE1149">
      <w:pPr>
        <w:numPr>
          <w:ilvl w:val="0"/>
          <w:numId w:val="9"/>
        </w:numPr>
        <w:tabs>
          <w:tab w:val="clear" w:pos="1080"/>
        </w:tabs>
        <w:jc w:val="both"/>
        <w:rPr>
          <w:rFonts w:asciiTheme="minorHAnsi" w:hAnsiTheme="minorHAnsi" w:cstheme="minorHAnsi"/>
          <w:b/>
          <w:sz w:val="22"/>
        </w:rPr>
      </w:pPr>
      <w:r w:rsidRPr="00B52957">
        <w:rPr>
          <w:rFonts w:asciiTheme="minorHAnsi" w:hAnsiTheme="minorHAnsi" w:cstheme="minorHAnsi"/>
          <w:sz w:val="22"/>
        </w:rPr>
        <w:t>Defense and research related: Aircraft Combat Survivability Short Course at the Naval Post Graduate School</w:t>
      </w:r>
      <w:r w:rsidRPr="00B52957">
        <w:rPr>
          <w:rFonts w:asciiTheme="minorHAnsi" w:hAnsiTheme="minorHAnsi" w:cstheme="minorHAnsi"/>
          <w:b/>
          <w:sz w:val="22"/>
        </w:rPr>
        <w:t xml:space="preserve">, </w:t>
      </w:r>
      <w:r w:rsidRPr="00B52957">
        <w:rPr>
          <w:rFonts w:asciiTheme="minorHAnsi" w:hAnsiTheme="minorHAnsi" w:cstheme="minorHAnsi"/>
          <w:sz w:val="22"/>
        </w:rPr>
        <w:t>DOT&amp;E’s Design of Experiments course</w:t>
      </w:r>
      <w:r w:rsidRPr="00B52957">
        <w:rPr>
          <w:rFonts w:asciiTheme="minorHAnsi" w:hAnsiTheme="minorHAnsi" w:cstheme="minorHAnsi"/>
          <w:b/>
          <w:sz w:val="22"/>
        </w:rPr>
        <w:t xml:space="preserve">, </w:t>
      </w:r>
      <w:r w:rsidRPr="00B52957">
        <w:rPr>
          <w:rFonts w:asciiTheme="minorHAnsi" w:hAnsiTheme="minorHAnsi" w:cstheme="minorHAnsi"/>
          <w:sz w:val="22"/>
        </w:rPr>
        <w:t>Georgia Tech’s Basic Radar Concepts course</w:t>
      </w:r>
      <w:r w:rsidRPr="00B52957">
        <w:rPr>
          <w:rFonts w:asciiTheme="minorHAnsi" w:hAnsiTheme="minorHAnsi" w:cstheme="minorHAnsi"/>
          <w:b/>
          <w:sz w:val="22"/>
        </w:rPr>
        <w:t xml:space="preserve">, </w:t>
      </w:r>
      <w:r w:rsidRPr="00B52957">
        <w:rPr>
          <w:rFonts w:asciiTheme="minorHAnsi" w:hAnsiTheme="minorHAnsi" w:cstheme="minorHAnsi"/>
          <w:sz w:val="22"/>
        </w:rPr>
        <w:t>Defense Acquisition University Acquisition 101</w:t>
      </w:r>
    </w:p>
    <w:p w:rsidR="00053F71" w:rsidRPr="00B52957" w:rsidRDefault="00053F71" w:rsidP="00EE1149">
      <w:pPr>
        <w:numPr>
          <w:ilvl w:val="0"/>
          <w:numId w:val="9"/>
        </w:numPr>
        <w:tabs>
          <w:tab w:val="clear" w:pos="1080"/>
        </w:tabs>
        <w:jc w:val="both"/>
        <w:rPr>
          <w:rFonts w:asciiTheme="minorHAnsi" w:hAnsiTheme="minorHAnsi" w:cstheme="minorHAnsi"/>
          <w:b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General leadership and </w:t>
      </w:r>
      <w:r w:rsidR="009A3374" w:rsidRPr="00B52957">
        <w:rPr>
          <w:rFonts w:asciiTheme="minorHAnsi" w:hAnsiTheme="minorHAnsi" w:cstheme="minorHAnsi"/>
          <w:sz w:val="22"/>
        </w:rPr>
        <w:t xml:space="preserve">personal development: </w:t>
      </w:r>
      <w:proofErr w:type="spellStart"/>
      <w:r w:rsidRPr="00B52957">
        <w:rPr>
          <w:rFonts w:asciiTheme="minorHAnsi" w:hAnsiTheme="minorHAnsi" w:cstheme="minorHAnsi"/>
          <w:sz w:val="22"/>
        </w:rPr>
        <w:t>Tufte</w:t>
      </w:r>
      <w:r w:rsidR="009A3374" w:rsidRPr="00B52957">
        <w:rPr>
          <w:rFonts w:asciiTheme="minorHAnsi" w:hAnsiTheme="minorHAnsi" w:cstheme="minorHAnsi"/>
          <w:sz w:val="22"/>
        </w:rPr>
        <w:t>’s</w:t>
      </w:r>
      <w:proofErr w:type="spellEnd"/>
      <w:r w:rsidRPr="00B52957">
        <w:rPr>
          <w:rFonts w:asciiTheme="minorHAnsi" w:hAnsiTheme="minorHAnsi" w:cstheme="minorHAnsi"/>
          <w:sz w:val="22"/>
        </w:rPr>
        <w:t xml:space="preserve"> Data Visualization course</w:t>
      </w:r>
      <w:r w:rsidR="009A3374" w:rsidRPr="00B52957">
        <w:rPr>
          <w:rFonts w:asciiTheme="minorHAnsi" w:hAnsiTheme="minorHAnsi" w:cstheme="minorHAnsi"/>
          <w:sz w:val="22"/>
        </w:rPr>
        <w:t>, IDA task leadership course, DOT&amp;E’s Action Officer course, various writing workshops</w:t>
      </w:r>
    </w:p>
    <w:p w:rsidR="009A3374" w:rsidRPr="00B52957" w:rsidRDefault="009A3374" w:rsidP="00EE1149">
      <w:pPr>
        <w:ind w:left="720"/>
        <w:jc w:val="both"/>
        <w:rPr>
          <w:rFonts w:asciiTheme="minorHAnsi" w:hAnsiTheme="minorHAnsi" w:cstheme="minorHAnsi"/>
          <w:b/>
          <w:sz w:val="22"/>
        </w:rPr>
      </w:pPr>
      <w:r w:rsidRPr="00B52957">
        <w:rPr>
          <w:rFonts w:asciiTheme="minorHAnsi" w:hAnsiTheme="minorHAnsi" w:cstheme="minorHAnsi"/>
          <w:sz w:val="22"/>
        </w:rPr>
        <w:t>Other personal development</w:t>
      </w:r>
    </w:p>
    <w:p w:rsidR="007E0BB8" w:rsidRPr="00B52957" w:rsidRDefault="00053F71" w:rsidP="00EE1149">
      <w:pPr>
        <w:numPr>
          <w:ilvl w:val="0"/>
          <w:numId w:val="9"/>
        </w:numPr>
        <w:tabs>
          <w:tab w:val="clear" w:pos="1080"/>
        </w:tabs>
        <w:jc w:val="both"/>
        <w:rPr>
          <w:rFonts w:asciiTheme="minorHAnsi" w:hAnsiTheme="minorHAnsi" w:cstheme="minorHAnsi"/>
          <w:b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Online curriculum including, Stanford’s Machine Learning course (by Andrew Ng), Coursera’s “Learning How to Learn,” various Java, Python, and other programming courses (through Northern Virginia Community College, Coursera, </w:t>
      </w:r>
      <w:proofErr w:type="spellStart"/>
      <w:r w:rsidRPr="00B52957">
        <w:rPr>
          <w:rFonts w:asciiTheme="minorHAnsi" w:hAnsiTheme="minorHAnsi" w:cstheme="minorHAnsi"/>
          <w:sz w:val="22"/>
        </w:rPr>
        <w:t>Udacity</w:t>
      </w:r>
      <w:proofErr w:type="spellEnd"/>
      <w:r w:rsidRPr="00B52957">
        <w:rPr>
          <w:rFonts w:asciiTheme="minorHAnsi" w:hAnsiTheme="minorHAnsi" w:cstheme="minorHAnsi"/>
          <w:sz w:val="22"/>
        </w:rPr>
        <w:t>, etc.)</w:t>
      </w:r>
    </w:p>
    <w:p w:rsidR="007E0BB8" w:rsidRPr="00B52957" w:rsidRDefault="007E0BB8" w:rsidP="00EE1149">
      <w:pPr>
        <w:jc w:val="both"/>
        <w:rPr>
          <w:rFonts w:asciiTheme="minorHAnsi" w:hAnsiTheme="minorHAnsi" w:cstheme="minorHAnsi"/>
          <w:sz w:val="22"/>
        </w:rPr>
      </w:pPr>
    </w:p>
    <w:p w:rsidR="00C95C7F" w:rsidRPr="004878D4" w:rsidRDefault="00C95C7F" w:rsidP="004878D4">
      <w:pPr>
        <w:jc w:val="center"/>
        <w:rPr>
          <w:rFonts w:asciiTheme="minorHAnsi" w:hAnsiTheme="minorHAnsi" w:cstheme="minorHAnsi"/>
          <w:b/>
          <w:sz w:val="40"/>
          <w:szCs w:val="22"/>
        </w:rPr>
      </w:pPr>
      <w:r w:rsidRPr="004878D4">
        <w:rPr>
          <w:rFonts w:asciiTheme="minorHAnsi" w:hAnsiTheme="minorHAnsi" w:cstheme="minorHAnsi"/>
          <w:b/>
          <w:sz w:val="40"/>
          <w:szCs w:val="22"/>
        </w:rPr>
        <w:t>PUBLICATIONS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Co-Author, "User’s Manual for the Chemical and Biological Attack Consequence Estimator Version 1.0" `</w:t>
      </w:r>
      <w:r w:rsidRPr="00B52957">
        <w:rPr>
          <w:rFonts w:asciiTheme="minorHAnsi" w:hAnsiTheme="minorHAnsi" w:cstheme="minorHAnsi"/>
          <w:sz w:val="22"/>
        </w:rPr>
        <w:tab/>
        <w:t>(2016).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Co-Author, "(U) Cassandra Homeland Analytic Product Support Technical Summary" (2016).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Co-Author, "User's Manual for the Hazard Prediction and Assessment Capability Batcher" (2015).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Co-Author, "(U) Encapsulation: A Quick-Look Assessment" (2015).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Co-Author, "(U) Transit Study Technical Review (2014).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Co-Author, "An Analytic Model for Chemical, Biological, Radiological, and Nuclear (CBRN)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Requirements Generation for Percutaneous Protection (U)" (2013).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Co-Author, "Operational Effects Analytical Support Program (ASP) Long Term Effort -- Chemical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Biological Force Planning Construct -- Phase II" (2013).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Co-Author, "Reliability Survey of DOT&amp;E Acquisition Programs" (2013).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Co-Author, "Reliability Survey of DOT&amp;E Acquisition Programs" (2012).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Co-Author, “Tactical Unmanned Aircraft System Full-Rate Production Version V Configuration (RQ-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7BV1) Limited User Test” (2011).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Co-Author, “Test and Evaluation Concept for the Tier II Small Tactical Unmanned Aircraft System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(STUAS)” (2010).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lastRenderedPageBreak/>
        <w:t>Co-Author, “IDA Document D-4471, Reliability Survey of DOT&amp;E Acquisition Programs” (2011).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Co-Author, "Prolonging Density Gradient Stability" Langmuir, (April 2010).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Co-Author, "Controlled Flats on Spherical Polymer Colloids" Langmuir (December, 2009). 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Co-Author, "IDA Document D-3942, Reliability Survey of DOT&amp;E Acquisition Programs" (September </w:t>
      </w:r>
    </w:p>
    <w:p w:rsidR="00C95C7F" w:rsidRPr="00B52957" w:rsidRDefault="00C95C7F" w:rsidP="004D78BA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2009).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Co-Author, "Rayleigh− </w:t>
      </w:r>
      <w:proofErr w:type="spellStart"/>
      <w:r w:rsidRPr="00B52957">
        <w:rPr>
          <w:rFonts w:asciiTheme="minorHAnsi" w:hAnsiTheme="minorHAnsi" w:cstheme="minorHAnsi"/>
          <w:sz w:val="22"/>
        </w:rPr>
        <w:t>Beìnard</w:t>
      </w:r>
      <w:proofErr w:type="spellEnd"/>
      <w:r w:rsidRPr="00B52957">
        <w:rPr>
          <w:rFonts w:asciiTheme="minorHAnsi" w:hAnsiTheme="minorHAnsi" w:cstheme="minorHAnsi"/>
          <w:sz w:val="22"/>
        </w:rPr>
        <w:t xml:space="preserve"> Instability in Sedimentation" Industrial &amp; Engineering Chemistry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Research, 48(5), 2414-2421 (2009).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Co-Author, “In Solution Assembly of Colloidal Water” Soft Matter, 5, 1263-1268 (2009).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Co-Author, “Localized Quorum Sensing in Vibrio </w:t>
      </w:r>
      <w:proofErr w:type="spellStart"/>
      <w:r w:rsidRPr="00B52957">
        <w:rPr>
          <w:rFonts w:asciiTheme="minorHAnsi" w:hAnsiTheme="minorHAnsi" w:cstheme="minorHAnsi"/>
          <w:sz w:val="22"/>
        </w:rPr>
        <w:t>fischeri</w:t>
      </w:r>
      <w:proofErr w:type="spellEnd"/>
      <w:r w:rsidRPr="00B52957">
        <w:rPr>
          <w:rFonts w:asciiTheme="minorHAnsi" w:hAnsiTheme="minorHAnsi" w:cstheme="minorHAnsi"/>
          <w:sz w:val="22"/>
        </w:rPr>
        <w:t>” Colloids and Surfaces B, 62, 180-187, (2008).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Co-Author, “Site-Specific Functionalization on Individual Colloids: Size Control, Stability and Multi-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Layers” Langmuir, 23, 9069-9075 (2007).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Co-Author, “Fabrication of Doublets by a Salting Out – Quenching – Fusing Technique” Langmuir, 22,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9135-9141 (2006).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Co-Author, “Charge </w:t>
      </w:r>
      <w:proofErr w:type="spellStart"/>
      <w:r w:rsidRPr="00B52957">
        <w:rPr>
          <w:rFonts w:asciiTheme="minorHAnsi" w:hAnsiTheme="minorHAnsi" w:cstheme="minorHAnsi"/>
          <w:sz w:val="22"/>
        </w:rPr>
        <w:t>Nonuniformity</w:t>
      </w:r>
      <w:proofErr w:type="spellEnd"/>
      <w:r w:rsidRPr="00B52957">
        <w:rPr>
          <w:rFonts w:asciiTheme="minorHAnsi" w:hAnsiTheme="minorHAnsi" w:cstheme="minorHAnsi"/>
          <w:sz w:val="22"/>
        </w:rPr>
        <w:t xml:space="preserve"> Light Scattering” Colloids and Surfaces A, 267, 79-85 (2005).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Co-Author, “Particle lithography method and ordered structures prepared thereby” U.S Patent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application PST-14302/36 (2005).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Co-Author, “Nanoscale Functionalization and Site-Specific Assembly of Colloids by Particle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Lithography” Langmuir, 21, 4813-4815 (2005). 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Co-Author, June 2005. Nanoscale Functionalization and Site-Specific Assembly of Colloids by Particle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Lithography. 79th ACS Colloid and Surface Science Symposium, Potsdam, NY.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Co-Author, June 2006. In-solution Directed Assembly of Heterogeneous Colloidal Aggregates. 233rd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American Chemical Society National Meeting, Chicago, IL.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Co-Author, October 2006. Site Specific Functionalization of Colloids. The Pennsylvania State University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Chemical Engineering Department Symposium. University Park, PA.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b/>
          <w:sz w:val="24"/>
          <w:szCs w:val="22"/>
        </w:rPr>
      </w:pPr>
    </w:p>
    <w:p w:rsidR="00C95C7F" w:rsidRPr="004878D4" w:rsidRDefault="00C95C7F" w:rsidP="004878D4">
      <w:pPr>
        <w:pStyle w:val="NoSpacing"/>
        <w:jc w:val="center"/>
        <w:rPr>
          <w:rFonts w:asciiTheme="minorHAnsi" w:hAnsiTheme="minorHAnsi" w:cstheme="minorHAnsi"/>
          <w:b/>
          <w:sz w:val="40"/>
          <w:szCs w:val="22"/>
        </w:rPr>
      </w:pPr>
      <w:r w:rsidRPr="004878D4">
        <w:rPr>
          <w:rFonts w:asciiTheme="minorHAnsi" w:hAnsiTheme="minorHAnsi" w:cstheme="minorHAnsi"/>
          <w:b/>
          <w:sz w:val="40"/>
          <w:szCs w:val="22"/>
        </w:rPr>
        <w:t>PATENTS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proofErr w:type="spellStart"/>
      <w:r w:rsidRPr="00B52957">
        <w:rPr>
          <w:rFonts w:asciiTheme="minorHAnsi" w:hAnsiTheme="minorHAnsi" w:cstheme="minorHAnsi"/>
          <w:sz w:val="22"/>
        </w:rPr>
        <w:t>Velegol</w:t>
      </w:r>
      <w:proofErr w:type="spellEnd"/>
      <w:r w:rsidRPr="00B52957">
        <w:rPr>
          <w:rFonts w:asciiTheme="minorHAnsi" w:hAnsiTheme="minorHAnsi" w:cstheme="minorHAnsi"/>
          <w:sz w:val="22"/>
        </w:rPr>
        <w:t xml:space="preserve">, Darrell; </w:t>
      </w:r>
      <w:proofErr w:type="spellStart"/>
      <w:r w:rsidRPr="00B52957">
        <w:rPr>
          <w:rFonts w:asciiTheme="minorHAnsi" w:hAnsiTheme="minorHAnsi" w:cstheme="minorHAnsi"/>
          <w:sz w:val="22"/>
        </w:rPr>
        <w:t>Feick</w:t>
      </w:r>
      <w:proofErr w:type="spellEnd"/>
      <w:r w:rsidRPr="00B52957">
        <w:rPr>
          <w:rFonts w:asciiTheme="minorHAnsi" w:hAnsiTheme="minorHAnsi" w:cstheme="minorHAnsi"/>
          <w:sz w:val="22"/>
        </w:rPr>
        <w:t xml:space="preserve">, Jason D.; </w:t>
      </w:r>
      <w:proofErr w:type="spellStart"/>
      <w:r w:rsidRPr="00B52957">
        <w:rPr>
          <w:rFonts w:asciiTheme="minorHAnsi" w:hAnsiTheme="minorHAnsi" w:cstheme="minorHAnsi"/>
          <w:sz w:val="22"/>
        </w:rPr>
        <w:t>Yake</w:t>
      </w:r>
      <w:proofErr w:type="spellEnd"/>
      <w:r w:rsidRPr="00B52957">
        <w:rPr>
          <w:rFonts w:asciiTheme="minorHAnsi" w:hAnsiTheme="minorHAnsi" w:cstheme="minorHAnsi"/>
          <w:sz w:val="22"/>
        </w:rPr>
        <w:t xml:space="preserve">, Allison M.; Snyder, Charles.  “Particle lithography method and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ordered structures prepared thereby.” U.S Patent application PST-14302/36 (2005).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b/>
          <w:sz w:val="24"/>
          <w:szCs w:val="22"/>
        </w:rPr>
      </w:pPr>
    </w:p>
    <w:p w:rsidR="00C95C7F" w:rsidRPr="004878D4" w:rsidRDefault="00C95C7F" w:rsidP="004878D4">
      <w:pPr>
        <w:pStyle w:val="NoSpacing"/>
        <w:jc w:val="center"/>
        <w:rPr>
          <w:rFonts w:asciiTheme="minorHAnsi" w:hAnsiTheme="minorHAnsi" w:cstheme="minorHAnsi"/>
          <w:b/>
          <w:sz w:val="40"/>
          <w:szCs w:val="22"/>
        </w:rPr>
      </w:pPr>
      <w:r w:rsidRPr="004878D4">
        <w:rPr>
          <w:rFonts w:asciiTheme="minorHAnsi" w:hAnsiTheme="minorHAnsi" w:cstheme="minorHAnsi"/>
          <w:b/>
          <w:sz w:val="40"/>
          <w:szCs w:val="22"/>
        </w:rPr>
        <w:t>PRESENTATIONS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Co-Author, November 2016. Use of Modeling in Table-top Exercise Support. MORS </w:t>
      </w:r>
      <w:proofErr w:type="spellStart"/>
      <w:r w:rsidRPr="00B52957">
        <w:rPr>
          <w:rFonts w:asciiTheme="minorHAnsi" w:hAnsiTheme="minorHAnsi" w:cstheme="minorHAnsi"/>
          <w:sz w:val="22"/>
        </w:rPr>
        <w:t>Wargaming</w:t>
      </w:r>
      <w:proofErr w:type="spellEnd"/>
      <w:r w:rsidRPr="00B52957">
        <w:rPr>
          <w:rFonts w:asciiTheme="minorHAnsi" w:hAnsiTheme="minorHAnsi" w:cstheme="minorHAnsi"/>
          <w:sz w:val="22"/>
        </w:rPr>
        <w:t xml:space="preserve">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Symposium, Alexandria VA.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Charles E. Snyder and Darrell </w:t>
      </w:r>
      <w:proofErr w:type="spellStart"/>
      <w:r w:rsidRPr="00B52957">
        <w:rPr>
          <w:rFonts w:asciiTheme="minorHAnsi" w:hAnsiTheme="minorHAnsi" w:cstheme="minorHAnsi"/>
          <w:sz w:val="22"/>
        </w:rPr>
        <w:t>Velegol</w:t>
      </w:r>
      <w:proofErr w:type="spellEnd"/>
      <w:r w:rsidRPr="00B52957">
        <w:rPr>
          <w:rFonts w:asciiTheme="minorHAnsi" w:hAnsiTheme="minorHAnsi" w:cstheme="minorHAnsi"/>
          <w:sz w:val="22"/>
        </w:rPr>
        <w:t xml:space="preserve">, June 2005. Nanoscale Functionalization and Site-Specific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Assembly of Colloids by Particle Lithography.  79</w:t>
      </w:r>
      <w:r w:rsidRPr="00B52957">
        <w:rPr>
          <w:rFonts w:asciiTheme="minorHAnsi" w:hAnsiTheme="minorHAnsi" w:cstheme="minorHAnsi"/>
          <w:sz w:val="22"/>
          <w:vertAlign w:val="superscript"/>
        </w:rPr>
        <w:t>th</w:t>
      </w:r>
      <w:r w:rsidRPr="00B52957">
        <w:rPr>
          <w:rFonts w:asciiTheme="minorHAnsi" w:hAnsiTheme="minorHAnsi" w:cstheme="minorHAnsi"/>
          <w:sz w:val="22"/>
        </w:rPr>
        <w:t xml:space="preserve"> ACS Colloid and Surface Science Symposium, </w:t>
      </w:r>
    </w:p>
    <w:p w:rsidR="00C95C7F" w:rsidRPr="00B52957" w:rsidRDefault="00C95C7F" w:rsidP="00EE1149">
      <w:pPr>
        <w:pStyle w:val="NoSpacing"/>
        <w:ind w:left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Potsdam, NY.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Charles E. Snyder and Darrell </w:t>
      </w:r>
      <w:proofErr w:type="spellStart"/>
      <w:r w:rsidRPr="00B52957">
        <w:rPr>
          <w:rFonts w:asciiTheme="minorHAnsi" w:hAnsiTheme="minorHAnsi" w:cstheme="minorHAnsi"/>
          <w:sz w:val="22"/>
        </w:rPr>
        <w:t>Velegol</w:t>
      </w:r>
      <w:proofErr w:type="spellEnd"/>
      <w:r w:rsidRPr="00B52957">
        <w:rPr>
          <w:rFonts w:asciiTheme="minorHAnsi" w:hAnsiTheme="minorHAnsi" w:cstheme="minorHAnsi"/>
          <w:sz w:val="22"/>
        </w:rPr>
        <w:t xml:space="preserve">, October 2006. Site Specific Functionalization of Colloids.  The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Pennsylvania State University Chemical Engineering Department Symposium.  University Park, </w:t>
      </w:r>
    </w:p>
    <w:p w:rsidR="00C95C7F" w:rsidRPr="00B52957" w:rsidRDefault="00C95C7F" w:rsidP="00EE1149">
      <w:pPr>
        <w:pStyle w:val="NoSpacing"/>
        <w:ind w:left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PA.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Charles E. Snyder and Darrell </w:t>
      </w:r>
      <w:proofErr w:type="spellStart"/>
      <w:r w:rsidRPr="00B52957">
        <w:rPr>
          <w:rFonts w:asciiTheme="minorHAnsi" w:hAnsiTheme="minorHAnsi" w:cstheme="minorHAnsi"/>
          <w:sz w:val="22"/>
        </w:rPr>
        <w:t>Velegol</w:t>
      </w:r>
      <w:proofErr w:type="spellEnd"/>
      <w:r w:rsidRPr="00B52957">
        <w:rPr>
          <w:rFonts w:asciiTheme="minorHAnsi" w:hAnsiTheme="minorHAnsi" w:cstheme="minorHAnsi"/>
          <w:sz w:val="22"/>
        </w:rPr>
        <w:t xml:space="preserve">, June 2005. In-solution Directed Assembly of Heterogeneous </w:t>
      </w:r>
    </w:p>
    <w:p w:rsidR="00556A7C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Colloidal Aggregates.  233</w:t>
      </w:r>
      <w:r w:rsidRPr="00B52957">
        <w:rPr>
          <w:rFonts w:asciiTheme="minorHAnsi" w:hAnsiTheme="minorHAnsi" w:cstheme="minorHAnsi"/>
          <w:sz w:val="22"/>
          <w:vertAlign w:val="superscript"/>
        </w:rPr>
        <w:t>th</w:t>
      </w:r>
      <w:r w:rsidRPr="00B52957">
        <w:rPr>
          <w:rFonts w:asciiTheme="minorHAnsi" w:hAnsiTheme="minorHAnsi" w:cstheme="minorHAnsi"/>
          <w:sz w:val="22"/>
        </w:rPr>
        <w:t xml:space="preserve"> American Chemical Society National Meeting, Chicago, IL.</w:t>
      </w:r>
    </w:p>
    <w:sectPr w:rsidR="00556A7C" w:rsidRPr="00B52957" w:rsidSect="001A072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613" w:rsidRDefault="00AB1613">
      <w:r>
        <w:separator/>
      </w:r>
    </w:p>
  </w:endnote>
  <w:endnote w:type="continuationSeparator" w:id="0">
    <w:p w:rsidR="00AB1613" w:rsidRDefault="00AB1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613" w:rsidRDefault="00AB1613">
      <w:r>
        <w:separator/>
      </w:r>
    </w:p>
  </w:footnote>
  <w:footnote w:type="continuationSeparator" w:id="0">
    <w:p w:rsidR="00AB1613" w:rsidRDefault="00AB16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C13" w:rsidRPr="004878D4" w:rsidRDefault="00C451D5" w:rsidP="00F13922">
    <w:pPr>
      <w:tabs>
        <w:tab w:val="right" w:pos="9360"/>
      </w:tabs>
      <w:rPr>
        <w:rFonts w:asciiTheme="majorHAnsi" w:hAnsiTheme="majorHAnsi"/>
        <w:b/>
        <w:sz w:val="56"/>
        <w:szCs w:val="48"/>
      </w:rPr>
    </w:pPr>
    <w:r w:rsidRPr="004878D4">
      <w:rPr>
        <w:rFonts w:asciiTheme="majorHAnsi" w:hAnsiTheme="majorHAnsi"/>
        <w:b/>
        <w:noProof/>
        <w:sz w:val="56"/>
        <w:szCs w:val="4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DE1CB3E" wp14:editId="2A3EC744">
              <wp:simplePos x="0" y="0"/>
              <wp:positionH relativeFrom="column">
                <wp:posOffset>0</wp:posOffset>
              </wp:positionH>
              <wp:positionV relativeFrom="paragraph">
                <wp:posOffset>342900</wp:posOffset>
              </wp:positionV>
              <wp:extent cx="5943600" cy="0"/>
              <wp:effectExtent l="9525" t="9525" r="9525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line w14:anchorId="4F4B1F4F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pt" to="468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kcTEg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"/>
          </w:pict>
        </mc:Fallback>
      </mc:AlternateContent>
    </w:r>
    <w:r w:rsidR="00FB407C" w:rsidRPr="004878D4">
      <w:rPr>
        <w:rFonts w:asciiTheme="majorHAnsi" w:hAnsiTheme="majorHAnsi"/>
        <w:b/>
        <w:noProof/>
        <w:sz w:val="56"/>
        <w:szCs w:val="48"/>
      </w:rPr>
      <w:t xml:space="preserve">Charles Eduardo </w:t>
    </w:r>
    <w:r w:rsidR="00275101" w:rsidRPr="004878D4">
      <w:rPr>
        <w:rFonts w:asciiTheme="majorHAnsi" w:hAnsiTheme="majorHAnsi"/>
        <w:b/>
        <w:noProof/>
        <w:sz w:val="56"/>
        <w:szCs w:val="48"/>
      </w:rPr>
      <w:t>Snyder</w:t>
    </w:r>
    <w:r w:rsidR="00766C13" w:rsidRPr="004878D4">
      <w:rPr>
        <w:rFonts w:asciiTheme="majorHAnsi" w:hAnsiTheme="majorHAnsi"/>
        <w:b/>
        <w:sz w:val="56"/>
        <w:szCs w:val="48"/>
      </w:rPr>
      <w:tab/>
    </w:r>
  </w:p>
  <w:p w:rsidR="00766C13" w:rsidRPr="004878D4" w:rsidRDefault="00275101" w:rsidP="002C7782">
    <w:pPr>
      <w:jc w:val="distribute"/>
      <w:rPr>
        <w:rFonts w:asciiTheme="majorHAnsi" w:hAnsiTheme="majorHAnsi"/>
        <w:sz w:val="22"/>
      </w:rPr>
    </w:pPr>
    <w:r w:rsidRPr="004878D4">
      <w:rPr>
        <w:rFonts w:asciiTheme="majorHAnsi" w:hAnsiTheme="majorHAnsi"/>
        <w:sz w:val="22"/>
      </w:rPr>
      <w:t>5921 Edgehill Court</w:t>
    </w:r>
    <w:r w:rsidR="002021CD" w:rsidRPr="004878D4">
      <w:rPr>
        <w:rFonts w:asciiTheme="majorHAnsi" w:hAnsiTheme="majorHAnsi"/>
        <w:sz w:val="22"/>
      </w:rPr>
      <w:t xml:space="preserve"> ◊</w:t>
    </w:r>
    <w:r w:rsidRPr="004878D4">
      <w:rPr>
        <w:rFonts w:asciiTheme="majorHAnsi" w:hAnsiTheme="majorHAnsi"/>
        <w:sz w:val="22"/>
      </w:rPr>
      <w:t xml:space="preserve"> Alexandria</w:t>
    </w:r>
    <w:r w:rsidR="002021CD" w:rsidRPr="004878D4">
      <w:rPr>
        <w:rFonts w:asciiTheme="majorHAnsi" w:hAnsiTheme="majorHAnsi"/>
        <w:sz w:val="22"/>
      </w:rPr>
      <w:t>,</w:t>
    </w:r>
    <w:r w:rsidRPr="004878D4">
      <w:rPr>
        <w:rFonts w:asciiTheme="majorHAnsi" w:hAnsiTheme="majorHAnsi"/>
        <w:sz w:val="22"/>
      </w:rPr>
      <w:t xml:space="preserve"> Virginia 22303</w:t>
    </w:r>
    <w:r w:rsidR="002021CD" w:rsidRPr="004878D4">
      <w:rPr>
        <w:rFonts w:asciiTheme="majorHAnsi" w:hAnsiTheme="majorHAnsi"/>
        <w:sz w:val="22"/>
      </w:rPr>
      <w:t xml:space="preserve"> ◊ </w:t>
    </w:r>
    <w:r w:rsidRPr="004878D4">
      <w:rPr>
        <w:rFonts w:asciiTheme="majorHAnsi" w:hAnsiTheme="majorHAnsi"/>
        <w:sz w:val="22"/>
      </w:rPr>
      <w:t>814.746.0531</w:t>
    </w:r>
    <w:r w:rsidR="00FB407C" w:rsidRPr="004878D4">
      <w:rPr>
        <w:rFonts w:asciiTheme="majorHAnsi" w:hAnsiTheme="majorHAnsi"/>
        <w:sz w:val="22"/>
      </w:rPr>
      <w:t xml:space="preserve"> ◊ snyder.charles.e@gmail.com</w:t>
    </w:r>
  </w:p>
  <w:p w:rsidR="00766C13" w:rsidRDefault="00766C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8.6pt;height:8.6pt" o:bullet="t">
        <v:imagedata r:id="rId1" o:title="BD14655_"/>
      </v:shape>
    </w:pict>
  </w:numPicBullet>
  <w:abstractNum w:abstractNumId="0" w15:restartNumberingAfterBreak="0">
    <w:nsid w:val="0DE66CB9"/>
    <w:multiLevelType w:val="hybridMultilevel"/>
    <w:tmpl w:val="DFA0BE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1" w15:restartNumberingAfterBreak="0">
    <w:nsid w:val="11383C40"/>
    <w:multiLevelType w:val="hybridMultilevel"/>
    <w:tmpl w:val="44E458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2" w15:restartNumberingAfterBreak="0">
    <w:nsid w:val="12D82DDC"/>
    <w:multiLevelType w:val="hybridMultilevel"/>
    <w:tmpl w:val="0854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827AF"/>
    <w:multiLevelType w:val="hybridMultilevel"/>
    <w:tmpl w:val="425E649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4" w15:restartNumberingAfterBreak="0">
    <w:nsid w:val="1DF31DDB"/>
    <w:multiLevelType w:val="hybridMultilevel"/>
    <w:tmpl w:val="3A205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D3642"/>
    <w:multiLevelType w:val="hybridMultilevel"/>
    <w:tmpl w:val="6E60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E7ADC"/>
    <w:multiLevelType w:val="hybridMultilevel"/>
    <w:tmpl w:val="2D66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C7E2F"/>
    <w:multiLevelType w:val="hybridMultilevel"/>
    <w:tmpl w:val="60261B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A020DD"/>
    <w:multiLevelType w:val="hybridMultilevel"/>
    <w:tmpl w:val="CEDA33E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C3A04B66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47D56B8"/>
    <w:multiLevelType w:val="hybridMultilevel"/>
    <w:tmpl w:val="3F8E77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"/>
        </w:tabs>
        <w:ind w:left="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08"/>
        </w:tabs>
        <w:ind w:left="1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28"/>
        </w:tabs>
        <w:ind w:left="2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348"/>
        </w:tabs>
        <w:ind w:left="3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068"/>
        </w:tabs>
        <w:ind w:left="4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788"/>
        </w:tabs>
        <w:ind w:left="4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08"/>
        </w:tabs>
        <w:ind w:left="5508" w:hanging="360"/>
      </w:pPr>
      <w:rPr>
        <w:rFonts w:ascii="Wingdings" w:hAnsi="Wingdings" w:hint="default"/>
      </w:rPr>
    </w:lvl>
  </w:abstractNum>
  <w:abstractNum w:abstractNumId="10" w15:restartNumberingAfterBreak="0">
    <w:nsid w:val="38CC2D94"/>
    <w:multiLevelType w:val="hybridMultilevel"/>
    <w:tmpl w:val="D2A6CC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"/>
        </w:tabs>
        <w:ind w:left="1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68"/>
        </w:tabs>
        <w:ind w:left="22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88"/>
        </w:tabs>
        <w:ind w:left="29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08"/>
        </w:tabs>
        <w:ind w:left="37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28"/>
        </w:tabs>
        <w:ind w:left="44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48"/>
        </w:tabs>
        <w:ind w:left="5148" w:hanging="360"/>
      </w:pPr>
      <w:rPr>
        <w:rFonts w:ascii="Wingdings" w:hAnsi="Wingdings" w:hint="default"/>
      </w:rPr>
    </w:lvl>
  </w:abstractNum>
  <w:abstractNum w:abstractNumId="11" w15:restartNumberingAfterBreak="0">
    <w:nsid w:val="391F190C"/>
    <w:multiLevelType w:val="hybridMultilevel"/>
    <w:tmpl w:val="280848E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C3A04B66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C73543E"/>
    <w:multiLevelType w:val="hybridMultilevel"/>
    <w:tmpl w:val="07EC5EE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EC2EF88"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FE05FB"/>
    <w:multiLevelType w:val="hybridMultilevel"/>
    <w:tmpl w:val="48DEEB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14" w15:restartNumberingAfterBreak="0">
    <w:nsid w:val="660C399D"/>
    <w:multiLevelType w:val="hybridMultilevel"/>
    <w:tmpl w:val="F050B93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AEC2EF88"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8991298"/>
    <w:multiLevelType w:val="hybridMultilevel"/>
    <w:tmpl w:val="20E080B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C3A04B66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A4576D1"/>
    <w:multiLevelType w:val="hybridMultilevel"/>
    <w:tmpl w:val="BB5C3EF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17" w15:restartNumberingAfterBreak="0">
    <w:nsid w:val="7B1E784F"/>
    <w:multiLevelType w:val="hybridMultilevel"/>
    <w:tmpl w:val="76482E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C3A04B66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8"/>
  </w:num>
  <w:num w:numId="4">
    <w:abstractNumId w:val="14"/>
  </w:num>
  <w:num w:numId="5">
    <w:abstractNumId w:val="11"/>
  </w:num>
  <w:num w:numId="6">
    <w:abstractNumId w:val="17"/>
  </w:num>
  <w:num w:numId="7">
    <w:abstractNumId w:val="10"/>
  </w:num>
  <w:num w:numId="8">
    <w:abstractNumId w:val="1"/>
  </w:num>
  <w:num w:numId="9">
    <w:abstractNumId w:val="0"/>
  </w:num>
  <w:num w:numId="10">
    <w:abstractNumId w:val="13"/>
  </w:num>
  <w:num w:numId="11">
    <w:abstractNumId w:val="3"/>
  </w:num>
  <w:num w:numId="12">
    <w:abstractNumId w:val="16"/>
  </w:num>
  <w:num w:numId="13">
    <w:abstractNumId w:val="9"/>
  </w:num>
  <w:num w:numId="14">
    <w:abstractNumId w:val="7"/>
  </w:num>
  <w:num w:numId="15">
    <w:abstractNumId w:val="2"/>
  </w:num>
  <w:num w:numId="16">
    <w:abstractNumId w:val="6"/>
  </w:num>
  <w:num w:numId="17">
    <w:abstractNumId w:val="5"/>
  </w:num>
  <w:num w:numId="18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9D"/>
    <w:rsid w:val="000042C5"/>
    <w:rsid w:val="00007D24"/>
    <w:rsid w:val="000243D9"/>
    <w:rsid w:val="00030B27"/>
    <w:rsid w:val="00032610"/>
    <w:rsid w:val="00035DE3"/>
    <w:rsid w:val="00036478"/>
    <w:rsid w:val="00053F71"/>
    <w:rsid w:val="00056750"/>
    <w:rsid w:val="00072D7F"/>
    <w:rsid w:val="0007471D"/>
    <w:rsid w:val="00086A41"/>
    <w:rsid w:val="000B4C9D"/>
    <w:rsid w:val="000B552A"/>
    <w:rsid w:val="000E1F9F"/>
    <w:rsid w:val="000F2512"/>
    <w:rsid w:val="000F4715"/>
    <w:rsid w:val="000F7A73"/>
    <w:rsid w:val="001055E3"/>
    <w:rsid w:val="001139D3"/>
    <w:rsid w:val="00130580"/>
    <w:rsid w:val="0013062A"/>
    <w:rsid w:val="00133291"/>
    <w:rsid w:val="00137D50"/>
    <w:rsid w:val="00153D6A"/>
    <w:rsid w:val="00186A08"/>
    <w:rsid w:val="001A072A"/>
    <w:rsid w:val="001A111F"/>
    <w:rsid w:val="001B7707"/>
    <w:rsid w:val="001C78E5"/>
    <w:rsid w:val="001C7F0E"/>
    <w:rsid w:val="001D50D6"/>
    <w:rsid w:val="001D5A58"/>
    <w:rsid w:val="002021CD"/>
    <w:rsid w:val="00211B43"/>
    <w:rsid w:val="00221A0E"/>
    <w:rsid w:val="002223F3"/>
    <w:rsid w:val="00231C54"/>
    <w:rsid w:val="00234371"/>
    <w:rsid w:val="002473F0"/>
    <w:rsid w:val="00252AD4"/>
    <w:rsid w:val="00261193"/>
    <w:rsid w:val="002669AB"/>
    <w:rsid w:val="00275101"/>
    <w:rsid w:val="002770F0"/>
    <w:rsid w:val="00283D4F"/>
    <w:rsid w:val="002865D9"/>
    <w:rsid w:val="002956B9"/>
    <w:rsid w:val="00296370"/>
    <w:rsid w:val="002A5231"/>
    <w:rsid w:val="002B6CFF"/>
    <w:rsid w:val="002B6D7F"/>
    <w:rsid w:val="002C248B"/>
    <w:rsid w:val="002C26A5"/>
    <w:rsid w:val="002C7782"/>
    <w:rsid w:val="002D4E6C"/>
    <w:rsid w:val="002E45AF"/>
    <w:rsid w:val="002F1411"/>
    <w:rsid w:val="00300450"/>
    <w:rsid w:val="0030427B"/>
    <w:rsid w:val="0030728F"/>
    <w:rsid w:val="00323E8B"/>
    <w:rsid w:val="00324D42"/>
    <w:rsid w:val="0033451F"/>
    <w:rsid w:val="003415F1"/>
    <w:rsid w:val="00352CE7"/>
    <w:rsid w:val="003672D4"/>
    <w:rsid w:val="00372043"/>
    <w:rsid w:val="0039031F"/>
    <w:rsid w:val="00392731"/>
    <w:rsid w:val="003A31A2"/>
    <w:rsid w:val="003B079B"/>
    <w:rsid w:val="003B7E80"/>
    <w:rsid w:val="003C1EA0"/>
    <w:rsid w:val="003C546D"/>
    <w:rsid w:val="003D41B4"/>
    <w:rsid w:val="003F4985"/>
    <w:rsid w:val="003F5086"/>
    <w:rsid w:val="004009BE"/>
    <w:rsid w:val="00401553"/>
    <w:rsid w:val="00401AE8"/>
    <w:rsid w:val="004028BC"/>
    <w:rsid w:val="00402EF7"/>
    <w:rsid w:val="0041490A"/>
    <w:rsid w:val="00425305"/>
    <w:rsid w:val="00432188"/>
    <w:rsid w:val="00436570"/>
    <w:rsid w:val="00440EDD"/>
    <w:rsid w:val="00444F1F"/>
    <w:rsid w:val="00453DCE"/>
    <w:rsid w:val="004661CF"/>
    <w:rsid w:val="004878D4"/>
    <w:rsid w:val="004907EE"/>
    <w:rsid w:val="004A5FE4"/>
    <w:rsid w:val="004B4046"/>
    <w:rsid w:val="004B507F"/>
    <w:rsid w:val="004B5E8D"/>
    <w:rsid w:val="004C064C"/>
    <w:rsid w:val="004D256B"/>
    <w:rsid w:val="004D3982"/>
    <w:rsid w:val="004D51D8"/>
    <w:rsid w:val="004D78BA"/>
    <w:rsid w:val="004E0531"/>
    <w:rsid w:val="004E1D9B"/>
    <w:rsid w:val="004F27FF"/>
    <w:rsid w:val="004F5EC4"/>
    <w:rsid w:val="00525381"/>
    <w:rsid w:val="00533A42"/>
    <w:rsid w:val="005344E2"/>
    <w:rsid w:val="005346C2"/>
    <w:rsid w:val="00541A05"/>
    <w:rsid w:val="0055373E"/>
    <w:rsid w:val="00556A7C"/>
    <w:rsid w:val="00557D7E"/>
    <w:rsid w:val="0056247E"/>
    <w:rsid w:val="00582611"/>
    <w:rsid w:val="00583CE3"/>
    <w:rsid w:val="005875B1"/>
    <w:rsid w:val="005B00E9"/>
    <w:rsid w:val="005C1BB9"/>
    <w:rsid w:val="005C4DC7"/>
    <w:rsid w:val="005E0FC7"/>
    <w:rsid w:val="005F0071"/>
    <w:rsid w:val="005F2916"/>
    <w:rsid w:val="00621C4A"/>
    <w:rsid w:val="0064102D"/>
    <w:rsid w:val="00650F1C"/>
    <w:rsid w:val="0065422B"/>
    <w:rsid w:val="00657826"/>
    <w:rsid w:val="006764A1"/>
    <w:rsid w:val="00680BCF"/>
    <w:rsid w:val="006A0980"/>
    <w:rsid w:val="006A5325"/>
    <w:rsid w:val="006A6FCC"/>
    <w:rsid w:val="006B14B6"/>
    <w:rsid w:val="006B1EA3"/>
    <w:rsid w:val="006B59EB"/>
    <w:rsid w:val="006D4020"/>
    <w:rsid w:val="006F1150"/>
    <w:rsid w:val="007205E5"/>
    <w:rsid w:val="00731601"/>
    <w:rsid w:val="00742374"/>
    <w:rsid w:val="00747B43"/>
    <w:rsid w:val="00753AF7"/>
    <w:rsid w:val="00753E69"/>
    <w:rsid w:val="007609F7"/>
    <w:rsid w:val="00763D7D"/>
    <w:rsid w:val="00766C13"/>
    <w:rsid w:val="007704C2"/>
    <w:rsid w:val="00770B7F"/>
    <w:rsid w:val="007A7A76"/>
    <w:rsid w:val="007B5781"/>
    <w:rsid w:val="007D38E6"/>
    <w:rsid w:val="007D6B62"/>
    <w:rsid w:val="007E0BB8"/>
    <w:rsid w:val="007E1A40"/>
    <w:rsid w:val="007E6904"/>
    <w:rsid w:val="00800607"/>
    <w:rsid w:val="008014A9"/>
    <w:rsid w:val="0080313B"/>
    <w:rsid w:val="00807586"/>
    <w:rsid w:val="00833FDC"/>
    <w:rsid w:val="00842226"/>
    <w:rsid w:val="00845434"/>
    <w:rsid w:val="00854346"/>
    <w:rsid w:val="00857D12"/>
    <w:rsid w:val="00862F32"/>
    <w:rsid w:val="008652FC"/>
    <w:rsid w:val="00874CF9"/>
    <w:rsid w:val="00875170"/>
    <w:rsid w:val="008852F0"/>
    <w:rsid w:val="00890D4E"/>
    <w:rsid w:val="008A3FEF"/>
    <w:rsid w:val="008B20B4"/>
    <w:rsid w:val="008B405D"/>
    <w:rsid w:val="008B4146"/>
    <w:rsid w:val="008B6376"/>
    <w:rsid w:val="008E0A47"/>
    <w:rsid w:val="008E43D7"/>
    <w:rsid w:val="008F32D7"/>
    <w:rsid w:val="00951E5A"/>
    <w:rsid w:val="00954688"/>
    <w:rsid w:val="0096218B"/>
    <w:rsid w:val="00986C87"/>
    <w:rsid w:val="00986DCB"/>
    <w:rsid w:val="00987D5D"/>
    <w:rsid w:val="00991820"/>
    <w:rsid w:val="00992345"/>
    <w:rsid w:val="009927DD"/>
    <w:rsid w:val="00993BAD"/>
    <w:rsid w:val="009972D0"/>
    <w:rsid w:val="009A3374"/>
    <w:rsid w:val="009A7448"/>
    <w:rsid w:val="009C0F2F"/>
    <w:rsid w:val="009C5C83"/>
    <w:rsid w:val="00A1537F"/>
    <w:rsid w:val="00A15B90"/>
    <w:rsid w:val="00A27692"/>
    <w:rsid w:val="00A30CC1"/>
    <w:rsid w:val="00A45FE5"/>
    <w:rsid w:val="00A63878"/>
    <w:rsid w:val="00A8205A"/>
    <w:rsid w:val="00A91848"/>
    <w:rsid w:val="00AB1613"/>
    <w:rsid w:val="00AB22CF"/>
    <w:rsid w:val="00AB554A"/>
    <w:rsid w:val="00AF56DD"/>
    <w:rsid w:val="00B13783"/>
    <w:rsid w:val="00B30D02"/>
    <w:rsid w:val="00B349A2"/>
    <w:rsid w:val="00B52957"/>
    <w:rsid w:val="00B66CDA"/>
    <w:rsid w:val="00B753F5"/>
    <w:rsid w:val="00B810F8"/>
    <w:rsid w:val="00B950C0"/>
    <w:rsid w:val="00B95DF8"/>
    <w:rsid w:val="00BD50BC"/>
    <w:rsid w:val="00C2227E"/>
    <w:rsid w:val="00C22E04"/>
    <w:rsid w:val="00C255F7"/>
    <w:rsid w:val="00C271C7"/>
    <w:rsid w:val="00C325D9"/>
    <w:rsid w:val="00C33C55"/>
    <w:rsid w:val="00C42DD6"/>
    <w:rsid w:val="00C451D5"/>
    <w:rsid w:val="00C61669"/>
    <w:rsid w:val="00C71855"/>
    <w:rsid w:val="00C7542B"/>
    <w:rsid w:val="00C80268"/>
    <w:rsid w:val="00C95C7F"/>
    <w:rsid w:val="00CA1D13"/>
    <w:rsid w:val="00CA2D09"/>
    <w:rsid w:val="00CA7310"/>
    <w:rsid w:val="00CB2DAE"/>
    <w:rsid w:val="00CC115D"/>
    <w:rsid w:val="00CD6FBA"/>
    <w:rsid w:val="00D01350"/>
    <w:rsid w:val="00D07798"/>
    <w:rsid w:val="00D21988"/>
    <w:rsid w:val="00D252C9"/>
    <w:rsid w:val="00D34133"/>
    <w:rsid w:val="00D34C28"/>
    <w:rsid w:val="00D34DCB"/>
    <w:rsid w:val="00D4094F"/>
    <w:rsid w:val="00D72E5F"/>
    <w:rsid w:val="00D738B5"/>
    <w:rsid w:val="00D74D5D"/>
    <w:rsid w:val="00D90C9D"/>
    <w:rsid w:val="00D93F82"/>
    <w:rsid w:val="00DA50BF"/>
    <w:rsid w:val="00DC11A7"/>
    <w:rsid w:val="00DC6440"/>
    <w:rsid w:val="00DD3607"/>
    <w:rsid w:val="00DD519E"/>
    <w:rsid w:val="00DE0C45"/>
    <w:rsid w:val="00E06E0C"/>
    <w:rsid w:val="00E07838"/>
    <w:rsid w:val="00E262C3"/>
    <w:rsid w:val="00E33F92"/>
    <w:rsid w:val="00E347D8"/>
    <w:rsid w:val="00E403C8"/>
    <w:rsid w:val="00E51011"/>
    <w:rsid w:val="00E60B33"/>
    <w:rsid w:val="00E67F9C"/>
    <w:rsid w:val="00E70B53"/>
    <w:rsid w:val="00E70E26"/>
    <w:rsid w:val="00E827D8"/>
    <w:rsid w:val="00E95160"/>
    <w:rsid w:val="00E96EE3"/>
    <w:rsid w:val="00EA1977"/>
    <w:rsid w:val="00EB619B"/>
    <w:rsid w:val="00EB6952"/>
    <w:rsid w:val="00EC1EA9"/>
    <w:rsid w:val="00EC6BA2"/>
    <w:rsid w:val="00ED22AE"/>
    <w:rsid w:val="00EE1149"/>
    <w:rsid w:val="00EE617A"/>
    <w:rsid w:val="00F106DD"/>
    <w:rsid w:val="00F12132"/>
    <w:rsid w:val="00F13922"/>
    <w:rsid w:val="00F35D5B"/>
    <w:rsid w:val="00F5044C"/>
    <w:rsid w:val="00F56879"/>
    <w:rsid w:val="00F629F9"/>
    <w:rsid w:val="00F74F4A"/>
    <w:rsid w:val="00F800AF"/>
    <w:rsid w:val="00F96F0A"/>
    <w:rsid w:val="00FA56FA"/>
    <w:rsid w:val="00FB407C"/>
    <w:rsid w:val="00FD07EE"/>
    <w:rsid w:val="00FF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08BA3E2-5BEE-4AEF-B3AD-193BD83E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6A5"/>
    <w:rPr>
      <w:rFonts w:ascii="Palatino Linotype" w:hAnsi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B7707"/>
    <w:rPr>
      <w:color w:val="0000FF"/>
      <w:u w:val="single"/>
    </w:rPr>
  </w:style>
  <w:style w:type="paragraph" w:styleId="Header">
    <w:name w:val="header"/>
    <w:basedOn w:val="Normal"/>
    <w:rsid w:val="001D5A5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5A58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425305"/>
    <w:rPr>
      <w:sz w:val="16"/>
      <w:szCs w:val="16"/>
    </w:rPr>
  </w:style>
  <w:style w:type="paragraph" w:styleId="CommentText">
    <w:name w:val="annotation text"/>
    <w:basedOn w:val="Normal"/>
    <w:semiHidden/>
    <w:rsid w:val="00425305"/>
  </w:style>
  <w:style w:type="paragraph" w:styleId="CommentSubject">
    <w:name w:val="annotation subject"/>
    <w:basedOn w:val="CommentText"/>
    <w:next w:val="CommentText"/>
    <w:semiHidden/>
    <w:rsid w:val="00425305"/>
    <w:rPr>
      <w:b/>
      <w:bCs/>
    </w:rPr>
  </w:style>
  <w:style w:type="paragraph" w:styleId="BalloonText">
    <w:name w:val="Balloon Text"/>
    <w:basedOn w:val="Normal"/>
    <w:semiHidden/>
    <w:rsid w:val="0042530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5373E"/>
    <w:rPr>
      <w:rFonts w:ascii="Palatino Linotype" w:hAnsi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8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snyd/Public2016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9ADEC-D491-428C-BEA3-EE1188CE5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1264</Words>
  <Characters>7207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Trevor James Hawes</vt:lpstr>
    </vt:vector>
  </TitlesOfParts>
  <Company>None</Company>
  <LinksUpToDate>false</LinksUpToDate>
  <CharactersWithSpaces>8455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Trevor James Hawes</dc:title>
  <dc:creator>Trevor James Hawes</dc:creator>
  <cp:lastModifiedBy>MandC rock</cp:lastModifiedBy>
  <cp:revision>10</cp:revision>
  <cp:lastPrinted>2010-04-27T02:57:00Z</cp:lastPrinted>
  <dcterms:created xsi:type="dcterms:W3CDTF">2016-12-18T02:04:00Z</dcterms:created>
  <dcterms:modified xsi:type="dcterms:W3CDTF">2017-01-11T02:03:00Z</dcterms:modified>
</cp:coreProperties>
</file>