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8BC81" w14:textId="77777777" w:rsidR="00D13763" w:rsidRDefault="00000000">
      <w:pPr>
        <w:pStyle w:val="Heading1"/>
        <w:spacing w:before="0" w:line="275" w:lineRule="auto"/>
        <w:jc w:val="both"/>
        <w:rPr>
          <w:rFonts w:ascii="Google Sans" w:eastAsia="Google Sans" w:hAnsi="Google Sans" w:cs="Google Sans"/>
          <w:sz w:val="42"/>
          <w:szCs w:val="42"/>
        </w:rPr>
      </w:pPr>
      <w:r>
        <w:rPr>
          <w:rFonts w:ascii="Google Sans" w:eastAsia="Google Sans" w:hAnsi="Google Sans" w:cs="Google Sans"/>
          <w:sz w:val="54"/>
          <w:szCs w:val="54"/>
        </w:rPr>
        <w:t>KEYNOTE PROPOSAL FOR CSONET 2026</w:t>
      </w:r>
    </w:p>
    <w:p w14:paraId="72045263" w14:textId="77777777" w:rsidR="00D13763" w:rsidRDefault="00000000">
      <w:pPr>
        <w:pBdr>
          <w:top w:val="nil"/>
          <w:left w:val="nil"/>
          <w:bottom w:val="nil"/>
          <w:right w:val="nil"/>
          <w:between w:val="nil"/>
        </w:pBdr>
        <w:spacing w:line="275" w:lineRule="auto"/>
        <w:jc w:val="both"/>
        <w:rPr>
          <w:rFonts w:ascii="Google Sans" w:eastAsia="Google Sans" w:hAnsi="Google Sans" w:cs="Google Sans"/>
          <w:b/>
          <w:bCs/>
          <w:sz w:val="28"/>
          <w:szCs w:val="28"/>
        </w:rPr>
      </w:pPr>
      <w:r>
        <w:rPr>
          <w:rFonts w:ascii="Google Sans" w:eastAsia="Google Sans" w:hAnsi="Google Sans" w:cs="Google Sans"/>
          <w:b/>
          <w:bCs/>
          <w:sz w:val="28"/>
          <w:szCs w:val="28"/>
        </w:rPr>
        <w:t>Title: Causal-Aware Agentic Architectures for Multimodal Regulatory Compliance in High-Stakes Digital Ecosystems</w:t>
      </w:r>
    </w:p>
    <w:p w14:paraId="2AD9A2A4" w14:textId="77777777" w:rsidR="00D13763" w:rsidRDefault="00D13763">
      <w:pPr>
        <w:pBdr>
          <w:top w:val="nil"/>
          <w:left w:val="nil"/>
          <w:bottom w:val="nil"/>
          <w:right w:val="nil"/>
          <w:between w:val="nil"/>
        </w:pBdr>
        <w:spacing w:line="275" w:lineRule="auto"/>
        <w:jc w:val="both"/>
        <w:rPr>
          <w:rFonts w:ascii="Google Sans" w:eastAsia="Google Sans" w:hAnsi="Google Sans" w:cs="Google Sans"/>
          <w:b/>
          <w:bCs/>
          <w:sz w:val="28"/>
          <w:szCs w:val="28"/>
        </w:rPr>
      </w:pPr>
    </w:p>
    <w:p w14:paraId="7A413F06" w14:textId="77777777" w:rsidR="00D13763" w:rsidRDefault="00000000">
      <w:pPr>
        <w:pBdr>
          <w:top w:val="nil"/>
          <w:left w:val="nil"/>
          <w:bottom w:val="nil"/>
          <w:right w:val="nil"/>
          <w:between w:val="nil"/>
        </w:pBdr>
        <w:spacing w:line="275" w:lineRule="auto"/>
        <w:jc w:val="center"/>
        <w:rPr>
          <w:rFonts w:ascii="Google Sans" w:eastAsia="Google Sans" w:hAnsi="Google Sans" w:cs="Google Sans"/>
          <w:b/>
          <w:bCs/>
          <w:sz w:val="28"/>
          <w:szCs w:val="28"/>
        </w:rPr>
      </w:pPr>
      <w:r>
        <w:rPr>
          <w:rFonts w:ascii="Google Sans" w:eastAsia="Google Sans" w:hAnsi="Google Sans" w:cs="Google Sans"/>
          <w:b/>
          <w:bCs/>
          <w:noProof/>
          <w:sz w:val="28"/>
          <w:szCs w:val="28"/>
        </w:rPr>
        <w:drawing>
          <wp:inline distT="114300" distB="114300" distL="114300" distR="114300" wp14:anchorId="77F9F875" wp14:editId="4BBD8F79">
            <wp:extent cx="2492736" cy="33575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92736" cy="3357563"/>
                    </a:xfrm>
                    <a:prstGeom prst="rect">
                      <a:avLst/>
                    </a:prstGeom>
                    <a:ln/>
                  </pic:spPr>
                </pic:pic>
              </a:graphicData>
            </a:graphic>
          </wp:inline>
        </w:drawing>
      </w:r>
    </w:p>
    <w:p w14:paraId="341BB407" w14:textId="77777777" w:rsidR="00D13763" w:rsidRDefault="00D13763">
      <w:pPr>
        <w:pBdr>
          <w:top w:val="nil"/>
          <w:left w:val="nil"/>
          <w:bottom w:val="nil"/>
          <w:right w:val="nil"/>
          <w:between w:val="nil"/>
        </w:pBdr>
        <w:spacing w:line="275" w:lineRule="auto"/>
        <w:jc w:val="both"/>
        <w:rPr>
          <w:rFonts w:ascii="Google Sans" w:eastAsia="Google Sans" w:hAnsi="Google Sans" w:cs="Google Sans"/>
          <w:sz w:val="28"/>
          <w:szCs w:val="28"/>
        </w:rPr>
      </w:pPr>
    </w:p>
    <w:p w14:paraId="25D64B22" w14:textId="77777777" w:rsidR="00D13763" w:rsidRDefault="00000000">
      <w:pPr>
        <w:pStyle w:val="Heading2"/>
        <w:spacing w:before="0" w:line="275" w:lineRule="auto"/>
        <w:jc w:val="both"/>
        <w:rPr>
          <w:rFonts w:ascii="Google Sans" w:eastAsia="Google Sans" w:hAnsi="Google Sans" w:cs="Google Sans"/>
          <w:sz w:val="42"/>
          <w:szCs w:val="42"/>
        </w:rPr>
      </w:pPr>
      <w:r>
        <w:rPr>
          <w:rFonts w:ascii="Google Sans" w:eastAsia="Google Sans" w:hAnsi="Google Sans" w:cs="Google Sans"/>
          <w:sz w:val="42"/>
          <w:szCs w:val="42"/>
        </w:rPr>
        <w:t>ABSTRACT</w:t>
      </w:r>
    </w:p>
    <w:p w14:paraId="290D21FB" w14:textId="77777777" w:rsidR="00D13763" w:rsidRDefault="00000000">
      <w:pPr>
        <w:spacing w:before="240" w:after="240" w:line="275" w:lineRule="auto"/>
        <w:jc w:val="both"/>
        <w:rPr>
          <w:rFonts w:ascii="Google Sans" w:eastAsia="Google Sans" w:hAnsi="Google Sans" w:cs="Google Sans"/>
          <w:sz w:val="28"/>
          <w:szCs w:val="28"/>
        </w:rPr>
      </w:pPr>
      <w:r>
        <w:rPr>
          <w:rFonts w:ascii="Google Sans" w:eastAsia="Google Sans" w:hAnsi="Google Sans" w:cs="Google Sans"/>
          <w:sz w:val="28"/>
          <w:szCs w:val="28"/>
        </w:rPr>
        <w:t>Governing high-stakes information in multimodal digital networks poses a profound challenge to established moderation frameworks. As specialized services, from medical diagnostics to regulated financial advice, increasingly permeate social discourse, the gap between textual disclaimers and the visual content they accompany has reached a critical threshold. Existing moderation systems, predominantly predicated on veracity-based filtering, lack the structural depth to resolve the cross-modal semantic discrepancies inherent in modern digital obfuscation.</w:t>
      </w:r>
    </w:p>
    <w:p w14:paraId="77DD70B9" w14:textId="77777777" w:rsidR="00D13763" w:rsidRDefault="00000000">
      <w:pPr>
        <w:spacing w:before="240" w:after="240" w:line="275" w:lineRule="auto"/>
        <w:jc w:val="both"/>
        <w:rPr>
          <w:rFonts w:ascii="Google Sans" w:eastAsia="Google Sans" w:hAnsi="Google Sans" w:cs="Google Sans"/>
          <w:sz w:val="28"/>
          <w:szCs w:val="28"/>
        </w:rPr>
      </w:pPr>
      <w:r>
        <w:rPr>
          <w:rFonts w:ascii="Google Sans" w:eastAsia="Google Sans" w:hAnsi="Google Sans" w:cs="Google Sans"/>
          <w:sz w:val="28"/>
          <w:szCs w:val="28"/>
        </w:rPr>
        <w:lastRenderedPageBreak/>
        <w:t xml:space="preserve">This keynote introduces a paradigm shift towards </w:t>
      </w:r>
      <w:r>
        <w:rPr>
          <w:rFonts w:ascii="Google Sans" w:eastAsia="Google Sans" w:hAnsi="Google Sans" w:cs="Google Sans"/>
          <w:i/>
          <w:iCs/>
          <w:sz w:val="28"/>
          <w:szCs w:val="28"/>
        </w:rPr>
        <w:t>authorization-aware regulatory reasoning</w:t>
      </w:r>
      <w:r>
        <w:rPr>
          <w:rFonts w:ascii="Google Sans" w:eastAsia="Google Sans" w:hAnsi="Google Sans" w:cs="Google Sans"/>
          <w:sz w:val="28"/>
          <w:szCs w:val="28"/>
        </w:rPr>
        <w:t>. We delineate a causal-aware agentic framework that enforces strict liability constraints in complex, multimodal environments. By integrating inference-time causal interventions with dynamic regulatory mapping, this architecture enables systems to isolate information gain from visual evidence while mitigating deceptive alignment and spurious modality correlations.</w:t>
      </w:r>
    </w:p>
    <w:p w14:paraId="053A618C" w14:textId="77777777" w:rsidR="00D13763" w:rsidRDefault="00000000">
      <w:pPr>
        <w:spacing w:before="240" w:after="240" w:line="275" w:lineRule="auto"/>
        <w:jc w:val="both"/>
        <w:rPr>
          <w:rFonts w:ascii="Google Sans" w:eastAsia="Google Sans" w:hAnsi="Google Sans" w:cs="Google Sans"/>
          <w:sz w:val="28"/>
          <w:szCs w:val="28"/>
        </w:rPr>
      </w:pPr>
      <w:r>
        <w:rPr>
          <w:rFonts w:ascii="Google Sans" w:eastAsia="Google Sans" w:hAnsi="Google Sans" w:cs="Google Sans"/>
          <w:sz w:val="28"/>
          <w:szCs w:val="28"/>
        </w:rPr>
        <w:t>The presentation will examine deploying these agentic architectures in high-stakes governance, emphasizing the need for systemic transparency, zero-day adaptability, and robust evasion resistance. Grounded in empirical validations on multimodal regulatory benchmarks, this session provides a rigorous roadmap for architecting next-generation compliance systems. We conclude by evaluating the future trajectory of autonomous agents as critical infrastructure for maintaining the integrity and stability of global digital ecosystems against increasingly sophisticated regulatory circumvention.</w:t>
      </w:r>
    </w:p>
    <w:p w14:paraId="2BBCE066" w14:textId="77777777" w:rsidR="00D13763" w:rsidRDefault="00D13763">
      <w:pPr>
        <w:spacing w:before="240" w:after="240" w:line="275" w:lineRule="auto"/>
        <w:jc w:val="both"/>
        <w:rPr>
          <w:rFonts w:ascii="Google Sans" w:eastAsia="Google Sans" w:hAnsi="Google Sans" w:cs="Google Sans"/>
          <w:sz w:val="28"/>
          <w:szCs w:val="28"/>
        </w:rPr>
      </w:pPr>
    </w:p>
    <w:p w14:paraId="07F966CD" w14:textId="77777777" w:rsidR="00D13763" w:rsidRDefault="00000000">
      <w:pPr>
        <w:pStyle w:val="Heading2"/>
        <w:spacing w:before="0" w:line="275" w:lineRule="auto"/>
        <w:jc w:val="both"/>
        <w:rPr>
          <w:rFonts w:ascii="Google Sans" w:eastAsia="Google Sans" w:hAnsi="Google Sans" w:cs="Google Sans"/>
          <w:sz w:val="42"/>
          <w:szCs w:val="42"/>
        </w:rPr>
      </w:pPr>
      <w:r>
        <w:rPr>
          <w:rFonts w:ascii="Google Sans" w:eastAsia="Google Sans" w:hAnsi="Google Sans" w:cs="Google Sans"/>
          <w:sz w:val="42"/>
          <w:szCs w:val="42"/>
        </w:rPr>
        <w:t>SPEAKER BIOGRAPHY</w:t>
      </w:r>
    </w:p>
    <w:p w14:paraId="05E96D5D" w14:textId="77777777" w:rsidR="00D13763" w:rsidRDefault="00000000">
      <w:pPr>
        <w:pBdr>
          <w:top w:val="nil"/>
          <w:left w:val="nil"/>
          <w:bottom w:val="nil"/>
          <w:right w:val="nil"/>
          <w:between w:val="nil"/>
        </w:pBdr>
        <w:spacing w:line="275" w:lineRule="auto"/>
        <w:jc w:val="both"/>
        <w:rPr>
          <w:rFonts w:ascii="Google Sans" w:eastAsia="Google Sans" w:hAnsi="Google Sans" w:cs="Google Sans"/>
          <w:i/>
          <w:iCs/>
          <w:sz w:val="28"/>
          <w:szCs w:val="28"/>
        </w:rPr>
      </w:pPr>
      <w:r>
        <w:rPr>
          <w:rFonts w:ascii="Google Sans" w:eastAsia="Google Sans" w:hAnsi="Google Sans" w:cs="Google Sans"/>
          <w:b/>
          <w:bCs/>
          <w:sz w:val="28"/>
          <w:szCs w:val="28"/>
        </w:rPr>
        <w:t>Assoc. Prof. Dr. Nguyen Thanh Binh</w:t>
      </w:r>
    </w:p>
    <w:p w14:paraId="671546AD" w14:textId="77777777" w:rsidR="00D13763" w:rsidRDefault="00000000">
      <w:pPr>
        <w:pBdr>
          <w:top w:val="nil"/>
          <w:left w:val="nil"/>
          <w:bottom w:val="nil"/>
          <w:right w:val="nil"/>
          <w:between w:val="nil"/>
        </w:pBdr>
        <w:spacing w:line="275" w:lineRule="auto"/>
        <w:jc w:val="both"/>
        <w:rPr>
          <w:rFonts w:ascii="Google Sans" w:eastAsia="Google Sans" w:hAnsi="Google Sans" w:cs="Google Sans"/>
          <w:sz w:val="28"/>
          <w:szCs w:val="28"/>
        </w:rPr>
      </w:pPr>
      <w:r>
        <w:rPr>
          <w:rFonts w:ascii="Google Sans" w:eastAsia="Google Sans" w:hAnsi="Google Sans" w:cs="Google Sans"/>
          <w:b/>
          <w:bCs/>
          <w:sz w:val="28"/>
          <w:szCs w:val="28"/>
        </w:rPr>
        <w:t>Biography:</w:t>
      </w:r>
      <w:r>
        <w:rPr>
          <w:rFonts w:ascii="Google Sans" w:eastAsia="Google Sans" w:hAnsi="Google Sans" w:cs="Google Sans"/>
          <w:sz w:val="28"/>
          <w:szCs w:val="28"/>
        </w:rPr>
        <w:t xml:space="preserve"> </w:t>
      </w:r>
    </w:p>
    <w:p w14:paraId="36453609" w14:textId="77777777" w:rsidR="00D13763" w:rsidRDefault="00D13763">
      <w:pPr>
        <w:pBdr>
          <w:top w:val="nil"/>
          <w:left w:val="nil"/>
          <w:bottom w:val="nil"/>
          <w:right w:val="nil"/>
          <w:between w:val="nil"/>
        </w:pBdr>
        <w:spacing w:line="275" w:lineRule="auto"/>
        <w:jc w:val="both"/>
        <w:rPr>
          <w:rFonts w:ascii="Google Sans" w:eastAsia="Google Sans" w:hAnsi="Google Sans" w:cs="Google Sans"/>
          <w:sz w:val="28"/>
          <w:szCs w:val="28"/>
        </w:rPr>
      </w:pPr>
    </w:p>
    <w:p w14:paraId="1836D349" w14:textId="77777777" w:rsidR="00D13763" w:rsidRDefault="00000000">
      <w:pPr>
        <w:spacing w:before="240" w:after="240" w:line="275" w:lineRule="auto"/>
        <w:jc w:val="both"/>
        <w:rPr>
          <w:rFonts w:ascii="Google Sans" w:eastAsia="Google Sans" w:hAnsi="Google Sans" w:cs="Google Sans"/>
          <w:sz w:val="28"/>
          <w:szCs w:val="28"/>
        </w:rPr>
      </w:pPr>
      <w:r>
        <w:rPr>
          <w:rFonts w:ascii="Google Sans" w:eastAsia="Google Sans" w:hAnsi="Google Sans" w:cs="Google Sans"/>
          <w:sz w:val="28"/>
          <w:szCs w:val="28"/>
        </w:rPr>
        <w:t>Dr. Binh T. Nguyen is an Associate Professor of Computer Science and Head of the Department of Computer Science at the University of Science, Vietnam National University Ho Chi Minh City (VNU-HCM), Vietnam.</w:t>
      </w:r>
    </w:p>
    <w:p w14:paraId="0A544D19" w14:textId="77777777" w:rsidR="00D13763" w:rsidRDefault="00000000">
      <w:pPr>
        <w:spacing w:before="240" w:after="240" w:line="275" w:lineRule="auto"/>
        <w:jc w:val="both"/>
        <w:rPr>
          <w:rFonts w:ascii="Google Sans" w:eastAsia="Google Sans" w:hAnsi="Google Sans" w:cs="Google Sans"/>
          <w:sz w:val="28"/>
          <w:szCs w:val="28"/>
        </w:rPr>
      </w:pPr>
      <w:r>
        <w:rPr>
          <w:rFonts w:ascii="Google Sans" w:eastAsia="Google Sans" w:hAnsi="Google Sans" w:cs="Google Sans"/>
          <w:sz w:val="28"/>
          <w:szCs w:val="28"/>
        </w:rPr>
        <w:t xml:space="preserve">With over 15 years of experience in artificial intelligence and machine learning, he has authored and co-authored more than 200 research publications, including papers presented at leading international conferences such as NeurIPS, ICLR, AAAI, and ACM Multimedia. He is also </w:t>
      </w:r>
      <w:r>
        <w:rPr>
          <w:rFonts w:ascii="Google Sans" w:eastAsia="Google Sans" w:hAnsi="Google Sans" w:cs="Google Sans"/>
          <w:sz w:val="28"/>
          <w:szCs w:val="28"/>
        </w:rPr>
        <w:lastRenderedPageBreak/>
        <w:t xml:space="preserve">an inventor on four patent applications filed in the United States and Canada and three national patents. </w:t>
      </w:r>
    </w:p>
    <w:p w14:paraId="5F1E66B0" w14:textId="77777777" w:rsidR="00D13763" w:rsidRDefault="00000000">
      <w:pPr>
        <w:spacing w:before="240" w:after="240" w:line="275" w:lineRule="auto"/>
        <w:jc w:val="both"/>
        <w:rPr>
          <w:rFonts w:ascii="Google Sans" w:eastAsia="Google Sans" w:hAnsi="Google Sans" w:cs="Google Sans"/>
          <w:sz w:val="28"/>
          <w:szCs w:val="28"/>
        </w:rPr>
      </w:pPr>
      <w:r>
        <w:rPr>
          <w:rFonts w:ascii="Google Sans" w:eastAsia="Google Sans" w:hAnsi="Google Sans" w:cs="Google Sans"/>
          <w:sz w:val="28"/>
          <w:szCs w:val="28"/>
        </w:rPr>
        <w:t>Beyond academia, Prof. Nguyen has extensive experience leading AI research and development initiatives, building high-performing R&amp;D teams, and bridging cutting-edge research and real-world applications. He has collaborated with technology companies and startups to translate AI innovations into practical, impactful products and solutions.</w:t>
      </w:r>
    </w:p>
    <w:p w14:paraId="2C564707" w14:textId="77777777" w:rsidR="00D13763" w:rsidRDefault="00000000">
      <w:pPr>
        <w:spacing w:before="240" w:after="240" w:line="275" w:lineRule="auto"/>
        <w:jc w:val="both"/>
        <w:rPr>
          <w:rFonts w:ascii="Google Sans" w:eastAsia="Google Sans" w:hAnsi="Google Sans" w:cs="Google Sans"/>
          <w:sz w:val="28"/>
          <w:szCs w:val="28"/>
          <w:lang w:val="vi-VN"/>
        </w:rPr>
      </w:pPr>
      <w:r>
        <w:rPr>
          <w:rFonts w:ascii="Google Sans" w:eastAsia="Google Sans" w:hAnsi="Google Sans" w:cs="Google Sans"/>
          <w:sz w:val="28"/>
          <w:szCs w:val="28"/>
        </w:rPr>
        <w:t>His research contributions have been recognized through numerous national and international honors, including the Golden Globe Award in Science and Technology (Vietnam, 2021), the Mathematical Research Award (2020) from the Vietnam Institute for Advanced Study in Mathematics, the Best Paper Award at SoMeT 2018, and Best Paper Runner-up Awards at KSE 2022 and PACLIC 2022. He also led teams that won championship titles at the ACM ICMR Lifelog Search Challenge in both 2020 and 2021.</w:t>
      </w:r>
    </w:p>
    <w:p w14:paraId="0C808AD5" w14:textId="77777777" w:rsidR="008D4DFF" w:rsidRDefault="008D4DFF">
      <w:pPr>
        <w:spacing w:before="240" w:after="240" w:line="275" w:lineRule="auto"/>
        <w:jc w:val="both"/>
        <w:rPr>
          <w:rFonts w:ascii="Google Sans" w:eastAsia="Google Sans" w:hAnsi="Google Sans" w:cs="Google Sans"/>
          <w:sz w:val="28"/>
          <w:szCs w:val="28"/>
          <w:lang w:val="vi-VN"/>
        </w:rPr>
      </w:pPr>
    </w:p>
    <w:p w14:paraId="27052C06" w14:textId="77777777" w:rsidR="008D4DFF" w:rsidRPr="008D4DFF" w:rsidRDefault="008D4DFF" w:rsidP="008D4DFF">
      <w:pPr>
        <w:widowControl/>
        <w:jc w:val="both"/>
        <w:rPr>
          <w:rFonts w:ascii="Times New Roman" w:eastAsia="Times New Roman" w:hAnsi="Times New Roman" w:cs="Times New Roman"/>
          <w:sz w:val="24"/>
          <w:szCs w:val="24"/>
        </w:rPr>
      </w:pPr>
      <w:r w:rsidRPr="008D4DFF">
        <w:rPr>
          <w:rFonts w:ascii="Google Sans" w:eastAsia="Times New Roman" w:hAnsi="Google Sans" w:cs="Times New Roman"/>
          <w:b/>
          <w:bCs/>
          <w:color w:val="000000"/>
          <w:sz w:val="28"/>
          <w:szCs w:val="28"/>
        </w:rPr>
        <w:t>References:</w:t>
      </w:r>
    </w:p>
    <w:p w14:paraId="0C76A146" w14:textId="77777777" w:rsidR="008D4DFF" w:rsidRPr="008D4DFF" w:rsidRDefault="008D4DFF" w:rsidP="008D4DFF">
      <w:pPr>
        <w:widowControl/>
        <w:rPr>
          <w:rFonts w:ascii="Times New Roman" w:eastAsia="Times New Roman" w:hAnsi="Times New Roman" w:cs="Times New Roman"/>
          <w:sz w:val="24"/>
          <w:szCs w:val="24"/>
        </w:rPr>
      </w:pPr>
    </w:p>
    <w:p w14:paraId="3E15ABA8" w14:textId="77777777" w:rsidR="008D4DFF" w:rsidRPr="008D4DFF" w:rsidRDefault="008D4DFF" w:rsidP="008D4DFF">
      <w:pPr>
        <w:widowControl/>
        <w:jc w:val="both"/>
        <w:rPr>
          <w:rFonts w:ascii="Times New Roman" w:eastAsia="Times New Roman" w:hAnsi="Times New Roman" w:cs="Times New Roman"/>
          <w:sz w:val="24"/>
          <w:szCs w:val="24"/>
        </w:rPr>
      </w:pPr>
      <w:r w:rsidRPr="008D4DFF">
        <w:rPr>
          <w:rFonts w:ascii="Google Sans" w:eastAsia="Times New Roman" w:hAnsi="Google Sans" w:cs="Times New Roman"/>
          <w:color w:val="000000"/>
          <w:sz w:val="28"/>
          <w:szCs w:val="28"/>
        </w:rPr>
        <w:t xml:space="preserve">[1] Tam, N. T., Tran, K. Q., Pham, D. T., Phu Le, T., Han, N. H. G., &amp; Nguyen, B. T. (2026). VietCheckMed: Explainable Regulatory Compliance Checking for Medical Advertisements on Vietnamese Social Media. Proceedings of the AAAI Conference on Artificial Intelligence, 40(2), 1069–1077. </w:t>
      </w:r>
      <w:hyperlink r:id="rId5" w:history="1">
        <w:r w:rsidRPr="008D4DFF">
          <w:rPr>
            <w:rFonts w:ascii="Google Sans" w:eastAsia="Times New Roman" w:hAnsi="Google Sans" w:cs="Times New Roman"/>
            <w:color w:val="1155CC"/>
            <w:sz w:val="28"/>
            <w:szCs w:val="28"/>
            <w:u w:val="single"/>
          </w:rPr>
          <w:t>https://doi.org/10.1609/aaai.v40i2.37077</w:t>
        </w:r>
      </w:hyperlink>
    </w:p>
    <w:p w14:paraId="606732D5" w14:textId="77777777" w:rsidR="008D4DFF" w:rsidRPr="008D4DFF" w:rsidRDefault="008D4DFF" w:rsidP="008D4DFF">
      <w:pPr>
        <w:widowControl/>
        <w:jc w:val="both"/>
        <w:rPr>
          <w:rFonts w:ascii="Times New Roman" w:eastAsia="Times New Roman" w:hAnsi="Times New Roman" w:cs="Times New Roman"/>
          <w:sz w:val="24"/>
          <w:szCs w:val="24"/>
        </w:rPr>
      </w:pPr>
      <w:r w:rsidRPr="008D4DFF">
        <w:rPr>
          <w:rFonts w:ascii="Google Sans" w:eastAsia="Times New Roman" w:hAnsi="Google Sans" w:cs="Times New Roman"/>
          <w:color w:val="000000"/>
          <w:sz w:val="28"/>
          <w:szCs w:val="28"/>
        </w:rPr>
        <w:br/>
        <w:t xml:space="preserve">[2] Tam Nguyen, Hoang-An Vo, Truong Phu Le, Khoa Anh Ta, Khanh Tran, Duyen Thi My Ngo, Bao-Thi Trong Dang, Le Hoang Uyen Thu, Lizi Liao, and Binh Nguyen. 2026. MM-RegCheck: Training-Free Causal-Aware Multimodal Reasoning for Regulatory Evasion Detection. In Proceedings of the 34th ACM International Conference on Multimedia (MM ’26), November 10–14, 2026, Rio de Janeiro, Brazil. ACM, New York, NY, USA, 9 pages. </w:t>
      </w:r>
      <w:hyperlink r:id="rId6" w:history="1">
        <w:r w:rsidRPr="008D4DFF">
          <w:rPr>
            <w:rFonts w:ascii="Google Sans" w:eastAsia="Times New Roman" w:hAnsi="Google Sans" w:cs="Times New Roman"/>
            <w:color w:val="1155CC"/>
            <w:sz w:val="28"/>
            <w:szCs w:val="28"/>
            <w:u w:val="single"/>
          </w:rPr>
          <w:t>https://doi.org/10.1145/3767308.3836494</w:t>
        </w:r>
      </w:hyperlink>
    </w:p>
    <w:p w14:paraId="7215F74F" w14:textId="77777777" w:rsidR="008D4DFF" w:rsidRPr="008D4DFF" w:rsidRDefault="008D4DFF" w:rsidP="008D4DFF">
      <w:pPr>
        <w:widowControl/>
        <w:jc w:val="both"/>
        <w:rPr>
          <w:rFonts w:ascii="Times New Roman" w:eastAsia="Times New Roman" w:hAnsi="Times New Roman" w:cs="Times New Roman"/>
          <w:sz w:val="24"/>
          <w:szCs w:val="24"/>
        </w:rPr>
      </w:pPr>
      <w:r w:rsidRPr="008D4DFF">
        <w:rPr>
          <w:rFonts w:ascii="Google Sans" w:eastAsia="Times New Roman" w:hAnsi="Google Sans" w:cs="Times New Roman"/>
          <w:color w:val="000000"/>
          <w:sz w:val="28"/>
          <w:szCs w:val="28"/>
        </w:rPr>
        <w:lastRenderedPageBreak/>
        <w:br/>
        <w:t xml:space="preserve">[3] Tam Nguyen, Khanh Quoc Tran, Hoang-An Vo, Khoa Anh Ta, Truong Phu Le, Thu Le, Thi Dang, Dat Thanh Pham, Duyen Ngo, Han Nguyen, Lizi Liao, and Binh Nguyen. 2026. VietCheckMed: A Scalable Retrieval-Augmented Engine for Zero-Day Regulatory Oversight. In Proceedings of the 35th ACM International Conference on Information and Knowledge Management (CIKM ’26), November 7–11, 2026, Rome, Italy. ACM, New York, NY, USA, 5 pages. </w:t>
      </w:r>
      <w:hyperlink r:id="rId7" w:history="1">
        <w:r w:rsidRPr="008D4DFF">
          <w:rPr>
            <w:rFonts w:ascii="Google Sans" w:eastAsia="Times New Roman" w:hAnsi="Google Sans" w:cs="Times New Roman"/>
            <w:color w:val="1155CC"/>
            <w:sz w:val="28"/>
            <w:szCs w:val="28"/>
            <w:u w:val="single"/>
          </w:rPr>
          <w:t>https://doi.org/10.1145/3799682.3840279</w:t>
        </w:r>
      </w:hyperlink>
    </w:p>
    <w:p w14:paraId="4FBD7B0C" w14:textId="77777777" w:rsidR="008D4DFF" w:rsidRPr="008D4DFF" w:rsidRDefault="008D4DFF" w:rsidP="008D4DFF">
      <w:pPr>
        <w:widowControl/>
        <w:rPr>
          <w:rFonts w:ascii="Times New Roman" w:eastAsia="Times New Roman" w:hAnsi="Times New Roman" w:cs="Times New Roman"/>
          <w:sz w:val="24"/>
          <w:szCs w:val="24"/>
        </w:rPr>
      </w:pPr>
    </w:p>
    <w:p w14:paraId="447D7C10" w14:textId="77777777" w:rsidR="008D4DFF" w:rsidRPr="008D4DFF" w:rsidRDefault="008D4DFF">
      <w:pPr>
        <w:spacing w:before="240" w:after="240" w:line="275" w:lineRule="auto"/>
        <w:jc w:val="both"/>
        <w:rPr>
          <w:rFonts w:ascii="Google Sans" w:eastAsia="Google Sans" w:hAnsi="Google Sans" w:cs="Google Sans"/>
          <w:sz w:val="28"/>
          <w:szCs w:val="28"/>
          <w:lang w:val="vi-VN"/>
        </w:rPr>
      </w:pPr>
    </w:p>
    <w:p w14:paraId="04EFB043" w14:textId="77777777" w:rsidR="00D13763" w:rsidRDefault="00D13763">
      <w:pPr>
        <w:pBdr>
          <w:top w:val="nil"/>
          <w:left w:val="nil"/>
          <w:bottom w:val="nil"/>
          <w:right w:val="nil"/>
          <w:between w:val="nil"/>
        </w:pBdr>
        <w:spacing w:line="275" w:lineRule="auto"/>
        <w:jc w:val="both"/>
        <w:rPr>
          <w:rFonts w:ascii="Google Sans" w:eastAsia="Google Sans" w:hAnsi="Google Sans" w:cs="Google Sans"/>
          <w:sz w:val="28"/>
          <w:szCs w:val="28"/>
        </w:rPr>
      </w:pPr>
    </w:p>
    <w:p w14:paraId="7A49B036" w14:textId="77777777" w:rsidR="00D13763" w:rsidRDefault="00D13763">
      <w:pPr>
        <w:pBdr>
          <w:top w:val="nil"/>
          <w:left w:val="nil"/>
          <w:bottom w:val="nil"/>
          <w:right w:val="nil"/>
          <w:between w:val="nil"/>
        </w:pBdr>
        <w:spacing w:line="275" w:lineRule="auto"/>
        <w:jc w:val="both"/>
        <w:rPr>
          <w:rFonts w:ascii="Google Sans" w:eastAsia="Google Sans" w:hAnsi="Google Sans" w:cs="Google Sans"/>
          <w:sz w:val="28"/>
          <w:szCs w:val="28"/>
        </w:rPr>
      </w:pPr>
    </w:p>
    <w:sectPr w:rsidR="00D1376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5196F8F-3910-A54A-952E-934DD663F721}"/>
    <w:embedBold r:id="rId2" w:fontKey="{A378CE42-5D4B-A140-8FBF-197E4770FDBA}"/>
  </w:font>
  <w:font w:name="Times New Roman">
    <w:panose1 w:val="02020603050405020304"/>
    <w:charset w:val="00"/>
    <w:family w:val="roman"/>
    <w:pitch w:val="variable"/>
    <w:sig w:usb0="E0002EFF" w:usb1="C000785B" w:usb2="00000009" w:usb3="00000000" w:csb0="000001FF" w:csb1="00000000"/>
    <w:embedRegular r:id="rId3" w:fontKey="{EE89A0E5-AE37-EA4D-810B-6806747233A3}"/>
    <w:embedBold r:id="rId4" w:fontKey="{E6B954BE-7C3F-5145-B83E-4A79A1D9F60D}"/>
  </w:font>
  <w:font w:name="Georgia">
    <w:panose1 w:val="02040502050405020303"/>
    <w:charset w:val="00"/>
    <w:family w:val="roman"/>
    <w:pitch w:val="variable"/>
    <w:sig w:usb0="00000287" w:usb1="00000000" w:usb2="00000000" w:usb3="00000000" w:csb0="0000009F" w:csb1="00000000"/>
    <w:embedItalic r:id="rId5" w:fontKey="{F7CF8BE1-0556-E14E-8B37-8447E997C4BD}"/>
  </w:font>
  <w:font w:name="Google Sans">
    <w:charset w:val="00"/>
    <w:family w:val="auto"/>
    <w:pitch w:val="default"/>
    <w:embedRegular r:id="rId6" w:fontKey="{3E81623B-FF86-1F40-89CD-257977F15046}"/>
    <w:embedBold r:id="rId7" w:fontKey="{C24D16B6-1259-8047-B789-2201C9C18C18}"/>
    <w:embedItalic r:id="rId8" w:fontKey="{28DC267C-5223-9A40-BCB4-8BA0E553CE92}"/>
  </w:font>
  <w:font w:name="Calibri">
    <w:panose1 w:val="020F0502020204030204"/>
    <w:charset w:val="00"/>
    <w:family w:val="swiss"/>
    <w:pitch w:val="variable"/>
    <w:sig w:usb0="E4002EFF" w:usb1="C200247B" w:usb2="00000009" w:usb3="00000000" w:csb0="000001FF" w:csb1="00000000"/>
    <w:embedRegular r:id="rId9" w:fontKey="{C3ED6B04-A8B5-7847-A0F5-BD41D230A53D}"/>
  </w:font>
  <w:font w:name="Cambria">
    <w:panose1 w:val="02040503050406030204"/>
    <w:charset w:val="00"/>
    <w:family w:val="roman"/>
    <w:pitch w:val="variable"/>
    <w:sig w:usb0="E00006FF" w:usb1="420024FF" w:usb2="02000000" w:usb3="00000000" w:csb0="0000019F" w:csb1="00000000"/>
    <w:embedRegular r:id="rId10" w:fontKey="{44CA20D9-E6F1-CD44-8529-8C1D936C980F}"/>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763"/>
    <w:rsid w:val="0016275F"/>
    <w:rsid w:val="00495F08"/>
    <w:rsid w:val="008D4DFF"/>
    <w:rsid w:val="00D1376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1B5694E"/>
  <w15:docId w15:val="{6FE8AEA5-350D-8B4B-819F-74F5D00BB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8D4DFF"/>
    <w:pPr>
      <w:widowControl/>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D4D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45/3799682.384027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3767308.3836494" TargetMode="External"/><Relationship Id="rId5" Type="http://schemas.openxmlformats.org/officeDocument/2006/relationships/hyperlink" Target="https://doi.org/10.1609/aaai.v40i2.37077" TargetMode="External"/><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Bình. Nguyễn Thanh (23)</cp:lastModifiedBy>
  <cp:revision>2</cp:revision>
  <dcterms:created xsi:type="dcterms:W3CDTF">2026-10-15T03:59:00Z</dcterms:created>
  <dcterms:modified xsi:type="dcterms:W3CDTF">2026-10-15T03:59:00Z</dcterms:modified>
</cp:coreProperties>
</file>