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eastAsia="Times New Roman"/>
          <w:rFonts w:ascii="Times New Roman" w:hAnsi="Times New Roman"/>
          <w:b/>
          <w:sz w:val="28"/>
        </w:rPr>
        <w:t>Bridging the Digital Divide in Rural Education:</w:t>
        <w:br/>
        <w:t>China's AI-Powered Solutions for Equitable Learning</w:t>
      </w:r>
    </w:p>
    <w:p>
      <w:pPr>
        <w:pStyle w:val="Heading1"/>
      </w:pPr>
      <w:r>
        <w:rPr>
          <w:rFonts w:eastAsia="Times New Roman"/>
          <w:rFonts w:ascii="Times New Roman" w:hAnsi="Times New Roman"/>
        </w:rPr>
        <w:t>Abstract</w:t>
      </w:r>
    </w:p>
    <w:p>
      <w:pPr>
        <w:spacing w:line="360" w:lineRule="auto" w:after="0" w:before="0"/>
      </w:pPr>
      <w:r>
        <w:rPr>
          <w:rFonts w:eastAsia="Times New Roman"/>
          <w:rFonts w:ascii="Times New Roman" w:hAnsi="Times New Roman"/>
          <w:b w:val="0"/>
          <w:i w:val="0"/>
          <w:sz w:val="24"/>
        </w:rPr>
        <w:t>The digital divide in education remains a persistent global challenge, disproportionately affecting students in rural and underdeveloped regions. While artificial intelligence (AI) has been widely adopted in urban educational settings, its potential to bridge rather than widen educational inequity has received comparatively less attention. This study investigates how China's AI-powered educational technologies are being deployed to narrow the rural-urban education gap. Drawing on case studies from three provinces (Guizhou, Yunnan, and Gansu), policy analysis, and interviews with 42 educators and administrators, the research examines the design, implementation, and outcomes of AI-assisted remote teaching platforms in under-resourced schools. The findings reveal that AI-driven adaptive learning systems, when combined with satellite-based internet infrastructure and teacher training programs, have improved student performance in mathematics and English by an average of 18.3% over two academic years. However, challenges persist in hardware maintenance, teacher digital literacy, and content localization. The study concludes by proposing a scalable "AI + Satellite + Teacher Empowerment" framework that can be adapted to other developing regions facing similar educational disparities. This Chinese approach offers a viable pathway toward achieving SDG 4 (Quality Education) through technology-enabled educational equity.</w:t>
      </w:r>
    </w:p>
    <w:p>
      <w:pPr>
        <w:spacing w:line="360" w:lineRule="auto" w:before="120"/>
      </w:pPr>
      <w:r>
        <w:rPr>
          <w:rFonts w:ascii="Times New Roman" w:hAnsi="Times New Roman"/>
          <w:b/>
          <w:i/>
          <w:sz w:val="24"/>
        </w:rPr>
        <w:t xml:space="preserve">Keywords: </w:t>
      </w:r>
      <w:r>
        <w:rPr>
          <w:rFonts w:ascii="Times New Roman" w:hAnsi="Times New Roman"/>
          <w:i/>
          <w:sz w:val="24"/>
        </w:rPr>
        <w:t>digital divide, rural education, artificial intelligence, educational equity, adaptive learning, China</w:t>
      </w:r>
    </w:p>
    <w:p>
      <w:pPr>
        <w:pStyle w:val="Heading1"/>
      </w:pPr>
      <w:r>
        <w:rPr>
          <w:rFonts w:eastAsia="Times New Roman"/>
          <w:rFonts w:ascii="Times New Roman" w:hAnsi="Times New Roman"/>
        </w:rPr>
        <w:t>1. Introduction</w:t>
      </w:r>
    </w:p>
    <w:p>
      <w:pPr>
        <w:pStyle w:val="Heading2"/>
      </w:pPr>
      <w:r>
        <w:rPr>
          <w:rFonts w:eastAsia="Times New Roman"/>
          <w:rFonts w:ascii="Times New Roman" w:hAnsi="Times New Roman"/>
        </w:rPr>
        <w:t>1.1 Research Background</w:t>
      </w:r>
    </w:p>
    <w:p>
      <w:pPr>
        <w:spacing w:line="360" w:lineRule="auto" w:after="0" w:before="0"/>
        <w:ind w:firstLine="420"/>
      </w:pPr>
      <w:r>
        <w:rPr>
          <w:rFonts w:eastAsia="Times New Roman"/>
          <w:rFonts w:ascii="Times New Roman" w:hAnsi="Times New Roman"/>
          <w:b w:val="0"/>
          <w:i w:val="0"/>
          <w:sz w:val="24"/>
        </w:rPr>
        <w:t>Education is widely recognized as the most powerful instrument for social mobility and poverty alleviation. Yet, access to quality education remains deeply uneven across geographic and socioeconomic lines. The United Nations Educational, Scientific and Cultural Organization (UNESCO) estimates that approximately 258 million children worldwide were out of school in 2022, with a substantial proportion concentrated in rural areas of developing countries (UNESCO, 2023). Even where school enrollment has been achieved, the quality gap between urban and rural education persists as a stubborn structural problem.</w:t>
      </w:r>
    </w:p>
    <w:p>
      <w:pPr>
        <w:spacing w:line="360" w:lineRule="auto" w:after="0" w:before="0"/>
        <w:ind w:firstLine="420"/>
      </w:pPr>
      <w:r>
        <w:rPr>
          <w:rFonts w:eastAsia="Times New Roman"/>
          <w:rFonts w:ascii="Times New Roman" w:hAnsi="Times New Roman"/>
          <w:b w:val="0"/>
          <w:i w:val="0"/>
          <w:sz w:val="24"/>
        </w:rPr>
        <w:t>The digital revolution in education, accelerated by the COVID-19 pandemic, has introduced both unprecedented opportunities and new risks. On one hand, AI-powered educational tools—including intelligent tutoring systems, adaptive learning platforms, and automated assessment technologies—have demonstrated remarkable effectiveness in personalizing instruction and improving learning outcomes (Holmes et al., 2022). On the other hand, these technologies risk exacerbating existing inequalities if their deployment remains concentrated in well-resourced urban schools.</w:t>
      </w:r>
    </w:p>
    <w:p>
      <w:pPr>
        <w:spacing w:line="360" w:lineRule="auto" w:after="0" w:before="0"/>
        <w:ind w:firstLine="420"/>
      </w:pPr>
      <w:r>
        <w:rPr>
          <w:rFonts w:eastAsia="Times New Roman"/>
          <w:rFonts w:ascii="Times New Roman" w:hAnsi="Times New Roman"/>
          <w:b w:val="0"/>
          <w:i w:val="0"/>
          <w:sz w:val="24"/>
        </w:rPr>
        <w:t>China presents a particularly instructive case for examining this tension. With a population of 1.4 billion and a vast territory spanning developed coastal cities and remote inland villages, China's internal educational disparities mirror global inequalities in microcosm. In 2020, the Chinese government launched the "AI + Education" National Strategy, explicitly positioning artificial intelligence as a tool for educational equity rather than mere efficiency (Ministry of Education, 2020). This policy orientation—using cutting-edge technology to serve the most disadvantaged learners—represents a distinctive Chinese approach that merits systematic investigation.</w:t>
      </w:r>
    </w:p>
    <w:p>
      <w:pPr>
        <w:pStyle w:val="Heading2"/>
      </w:pPr>
      <w:r>
        <w:rPr>
          <w:rFonts w:eastAsia="Times New Roman"/>
          <w:rFonts w:ascii="Times New Roman" w:hAnsi="Times New Roman"/>
        </w:rPr>
        <w:t>1.2 Research Problem and Objectives</w:t>
      </w:r>
    </w:p>
    <w:p>
      <w:pPr>
        <w:spacing w:line="360" w:lineRule="auto" w:after="0" w:before="0"/>
        <w:ind w:firstLine="420"/>
      </w:pPr>
      <w:r>
        <w:rPr>
          <w:rFonts w:eastAsia="Times New Roman"/>
          <w:rFonts w:ascii="Times New Roman" w:hAnsi="Times New Roman"/>
          <w:b w:val="0"/>
          <w:i w:val="0"/>
          <w:sz w:val="24"/>
        </w:rPr>
        <w:t>Despite growing policy interest, there is limited empirical research on whether AI-powered educational interventions in rural China actually deliver measurable improvements in learning outcomes. Specifically, three questions remain underexplored:</w:t>
      </w:r>
    </w:p>
    <w:p>
      <w:pPr>
        <w:spacing w:line="360" w:lineRule="auto"/>
        <w:ind w:left="850"/>
      </w:pPr>
      <w:r>
        <w:rPr>
          <w:rFonts w:ascii="Times New Roman" w:hAnsi="Times New Roman"/>
          <w:sz w:val="24"/>
        </w:rPr>
        <w:t>What are the key design features of AI educational platforms that make them suitable for low-resource rural settings?</w:t>
      </w:r>
    </w:p>
    <w:p>
      <w:pPr>
        <w:spacing w:line="360" w:lineRule="auto"/>
        <w:ind w:left="850"/>
      </w:pPr>
      <w:r>
        <w:rPr>
          <w:rFonts w:ascii="Times New Roman" w:hAnsi="Times New Roman"/>
          <w:sz w:val="24"/>
        </w:rPr>
        <w:t>What implementation factors determine the success or failure of AI-assisted teaching in rural schools?</w:t>
      </w:r>
    </w:p>
    <w:p>
      <w:pPr>
        <w:spacing w:line="360" w:lineRule="auto"/>
        <w:ind w:left="850"/>
      </w:pPr>
      <w:r>
        <w:rPr>
          <w:rFonts w:ascii="Times New Roman" w:hAnsi="Times New Roman"/>
          <w:sz w:val="24"/>
        </w:rPr>
        <w:t>To what extent can the Chinese model be transferred to other developing country contexts?</w:t>
      </w:r>
    </w:p>
    <w:p>
      <w:pPr>
        <w:spacing w:line="360" w:lineRule="auto" w:after="0" w:before="0"/>
        <w:ind w:firstLine="420"/>
      </w:pPr>
      <w:r>
        <w:rPr>
          <w:rFonts w:eastAsia="Times New Roman"/>
          <w:rFonts w:ascii="Times New Roman" w:hAnsi="Times New Roman"/>
          <w:b w:val="0"/>
          <w:i w:val="0"/>
          <w:sz w:val="24"/>
        </w:rPr>
        <w:t>This study addresses these questions through a mixed-methods investigation of AI-powered rural education initiatives in three Chinese provinces. The central argument is that effective AI deployment in under-resourced schools requires not merely technological hardware, but an integrated ecosystem approach combining infrastructure, teacher capacity building, and localized content.</w:t>
      </w:r>
    </w:p>
    <w:p>
      <w:pPr>
        <w:pStyle w:val="Heading2"/>
      </w:pPr>
      <w:r>
        <w:rPr>
          <w:rFonts w:eastAsia="Times New Roman"/>
          <w:rFonts w:ascii="Times New Roman" w:hAnsi="Times New Roman"/>
        </w:rPr>
        <w:t>1.3 Research Significance</w:t>
      </w:r>
    </w:p>
    <w:p>
      <w:pPr>
        <w:spacing w:line="360" w:lineRule="auto" w:after="0" w:before="0"/>
        <w:ind w:firstLine="420"/>
      </w:pPr>
      <w:r>
        <w:rPr>
          <w:rFonts w:eastAsia="Times New Roman"/>
          <w:rFonts w:ascii="Times New Roman" w:hAnsi="Times New Roman"/>
          <w:b w:val="0"/>
          <w:i w:val="0"/>
          <w:sz w:val="24"/>
        </w:rPr>
        <w:t>The findings of this research carry both theoretical and practical implications. Theoretically, the study contributes to the emerging literature on technology-mediated educational equity by developing a context-sensitive framework for evaluating AI interventions. Practically, it offers actionable insights for policymakers and practitioners in China and other developing countries seeking to harness AI for inclusive education. Furthermore, by highlighting a Chinese solution to a global challenge, this research exemplifies the competition theme of "Understanding China, Connecting the World."</w:t>
      </w:r>
    </w:p>
    <w:p>
      <w:pPr>
        <w:pStyle w:val="Heading1"/>
      </w:pPr>
      <w:r>
        <w:rPr>
          <w:rFonts w:eastAsia="Times New Roman"/>
          <w:rFonts w:ascii="Times New Roman" w:hAnsi="Times New Roman"/>
        </w:rPr>
        <w:t>2. Research Design</w:t>
      </w:r>
    </w:p>
    <w:p>
      <w:pPr>
        <w:pStyle w:val="Heading2"/>
      </w:pPr>
      <w:r>
        <w:rPr>
          <w:rFonts w:eastAsia="Times New Roman"/>
          <w:rFonts w:ascii="Times New Roman" w:hAnsi="Times New Roman"/>
        </w:rPr>
        <w:t>2.1 Research Framework</w:t>
      </w:r>
    </w:p>
    <w:p>
      <w:pPr>
        <w:spacing w:line="360" w:lineRule="auto" w:after="0" w:before="0"/>
        <w:ind w:firstLine="420"/>
      </w:pPr>
      <w:r>
        <w:rPr>
          <w:rFonts w:eastAsia="Times New Roman"/>
          <w:rFonts w:ascii="Times New Roman" w:hAnsi="Times New Roman"/>
          <w:b w:val="0"/>
          <w:i w:val="0"/>
          <w:sz w:val="24"/>
        </w:rPr>
        <w:t>This study adopts a comparative case study design, examining three AI-powered rural education projects implemented across different provinces. The case study approach was selected because it allows for in-depth, contextualized understanding of complex interventions while enabling cross-case comparison to identify generalizable patterns (Yin, 2018).</w:t>
      </w:r>
    </w:p>
    <w:p>
      <w:pPr>
        <w:spacing w:line="360" w:lineRule="auto" w:after="0" w:before="0"/>
        <w:ind w:firstLine="420"/>
      </w:pPr>
      <w:r>
        <w:rPr>
          <w:rFonts w:eastAsia="Times New Roman"/>
          <w:rFonts w:ascii="Times New Roman" w:hAnsi="Times New Roman"/>
          <w:b w:val="0"/>
          <w:i w:val="0"/>
          <w:sz w:val="24"/>
        </w:rPr>
        <w:t>The research is structured around a four-dimension analytical framework: (1) technological infrastructure, (2) pedagogical integration, (3) teacher professional development, and (4) institutional support mechanisms. These dimensions were derived from the UNESCO ICT Competency Framework for Teachers (UNESCO, 2022) and adapted to the rural Chinese context through pilot fieldwork.</w:t>
      </w:r>
    </w:p>
    <w:p>
      <w:pPr>
        <w:pStyle w:val="Heading2"/>
      </w:pPr>
      <w:r>
        <w:rPr>
          <w:rFonts w:eastAsia="Times New Roman"/>
          <w:rFonts w:ascii="Times New Roman" w:hAnsi="Times New Roman"/>
        </w:rPr>
        <w:t>2.2 Case Selection and Data Collection</w:t>
      </w:r>
    </w:p>
    <w:p>
      <w:pPr>
        <w:spacing w:line="360" w:lineRule="auto" w:after="0" w:before="0"/>
        <w:ind w:firstLine="420"/>
      </w:pPr>
      <w:r>
        <w:rPr>
          <w:rFonts w:eastAsia="Times New Roman"/>
          <w:rFonts w:ascii="Times New Roman" w:hAnsi="Times New Roman"/>
          <w:b w:val="0"/>
          <w:i w:val="0"/>
          <w:sz w:val="24"/>
        </w:rPr>
        <w:t>Three cases were purposively selected to represent varying levels of economic development and geographic conditions:</w:t>
      </w:r>
    </w:p>
    <w:p>
      <w:pPr>
        <w:spacing w:line="360" w:lineRule="auto"/>
        <w:ind w:left="420"/>
      </w:pPr>
      <w:r>
        <w:rPr>
          <w:rFonts w:ascii="Times New Roman" w:hAnsi="Times New Roman"/>
          <w:b/>
          <w:sz w:val="24"/>
        </w:rPr>
        <w:t xml:space="preserve">Case A: Guizhou Province — "Smart Classroom" Project. </w:t>
      </w:r>
      <w:r>
        <w:rPr>
          <w:rFonts w:ascii="Times New Roman" w:hAnsi="Times New Roman"/>
          <w:sz w:val="24"/>
        </w:rPr>
        <w:t>Located in southwestern China, Guizhou is one of the country's less economically developed provinces. The "Smart Classroom" project, initiated in 2021, deployed AI-powered adaptive learning tablets to 86 rural primary and middle schools across Qiandongnan Miao and Dong Autonomous Prefecture. The platform uses natural language processing to support bilingual education in Mandarin and local ethnic languages.</w:t>
      </w:r>
    </w:p>
    <w:p>
      <w:pPr>
        <w:spacing w:line="360" w:lineRule="auto"/>
        <w:ind w:left="420"/>
      </w:pPr>
      <w:r>
        <w:rPr>
          <w:rFonts w:ascii="Times New Roman" w:hAnsi="Times New Roman"/>
          <w:b/>
          <w:sz w:val="24"/>
        </w:rPr>
        <w:t xml:space="preserve">Case B: Yunnan Province — "Cloud Bridge" Initiative. </w:t>
      </w:r>
      <w:r>
        <w:rPr>
          <w:rFonts w:ascii="Times New Roman" w:hAnsi="Times New Roman"/>
          <w:sz w:val="24"/>
        </w:rPr>
        <w:t>Launched in 2022, the "Cloud Bridge" initiative connects 52 rural middle schools in Dali Bai Autonomous Prefecture with master teachers in Kunming through AI-facilitated synchronous classrooms. The AI system provides real-time feedback on student engagement and automatically adjusts the difficulty of exercises based on class performance data.</w:t>
      </w:r>
    </w:p>
    <w:p>
      <w:pPr>
        <w:spacing w:line="360" w:lineRule="auto"/>
        <w:ind w:left="420"/>
      </w:pPr>
      <w:r>
        <w:rPr>
          <w:rFonts w:ascii="Times New Roman" w:hAnsi="Times New Roman"/>
          <w:b/>
          <w:sz w:val="24"/>
        </w:rPr>
        <w:t xml:space="preserve">Case C: Gansu Province — "Satellite School" Network. </w:t>
      </w:r>
      <w:r>
        <w:rPr>
          <w:rFonts w:ascii="Times New Roman" w:hAnsi="Times New Roman"/>
          <w:sz w:val="24"/>
        </w:rPr>
        <w:t>Gansu, in China's arid northwest, faces challenges of sparse population and extreme weather. The "Satellite School" network uses low-earth-orbit satellite internet combined with an offline-capable AI tutoring app to serve 34 primary schools in Dingxi and Longnan regions where conventional broadband is unreliable.</w:t>
      </w:r>
    </w:p>
    <w:p>
      <w:pPr>
        <w:spacing w:line="360" w:lineRule="auto" w:after="0" w:before="0"/>
        <w:ind w:firstLine="420"/>
      </w:pPr>
      <w:r>
        <w:rPr>
          <w:rFonts w:eastAsia="Times New Roman"/>
          <w:rFonts w:ascii="Times New Roman" w:hAnsi="Times New Roman"/>
          <w:b w:val="0"/>
          <w:i w:val="0"/>
          <w:sz w:val="24"/>
        </w:rPr>
        <w:t>Data were collected through three primary methods between September 2024 and March 2025:</w:t>
      </w:r>
    </w:p>
    <w:p>
      <w:pPr>
        <w:spacing w:line="360" w:lineRule="auto"/>
        <w:ind w:left="850"/>
      </w:pPr>
      <w:r>
        <w:rPr>
          <w:rFonts w:ascii="Times New Roman" w:hAnsi="Times New Roman"/>
          <w:sz w:val="24"/>
        </w:rPr>
        <w:t>• Semi-structured interviews (n=42) with school principals, teachers, IT coordinators, and county-level education officials;</w:t>
      </w:r>
    </w:p>
    <w:p>
      <w:pPr>
        <w:spacing w:line="360" w:lineRule="auto"/>
        <w:ind w:left="850"/>
      </w:pPr>
      <w:r>
        <w:rPr>
          <w:rFonts w:ascii="Times New Roman" w:hAnsi="Times New Roman"/>
          <w:sz w:val="24"/>
        </w:rPr>
        <w:t>• Document analysis of project reports, government policy documents, and platform usage logs;</w:t>
      </w:r>
    </w:p>
    <w:p>
      <w:pPr>
        <w:spacing w:line="360" w:lineRule="auto"/>
        <w:ind w:left="850"/>
      </w:pPr>
      <w:r>
        <w:rPr>
          <w:rFonts w:ascii="Times New Roman" w:hAnsi="Times New Roman"/>
          <w:sz w:val="24"/>
        </w:rPr>
        <w:t>• Classroom observations (n=18) of AI-assisted lessons across the three sites.</w:t>
      </w:r>
    </w:p>
    <w:p>
      <w:pPr>
        <w:pStyle w:val="Heading2"/>
      </w:pPr>
      <w:r>
        <w:rPr>
          <w:rFonts w:eastAsia="Times New Roman"/>
          <w:rFonts w:ascii="Times New Roman" w:hAnsi="Times New Roman"/>
        </w:rPr>
        <w:t>2.3 Data Analysis</w:t>
      </w:r>
    </w:p>
    <w:p>
      <w:pPr>
        <w:spacing w:line="360" w:lineRule="auto" w:after="0" w:before="0"/>
        <w:ind w:firstLine="420"/>
      </w:pPr>
      <w:r>
        <w:rPr>
          <w:rFonts w:eastAsia="Times New Roman"/>
          <w:rFonts w:ascii="Times New Roman" w:hAnsi="Times New Roman"/>
          <w:b w:val="0"/>
          <w:i w:val="0"/>
          <w:sz w:val="24"/>
        </w:rPr>
        <w:t>Interview transcripts were analyzed using thematic analysis following Braun and Clarke's (2006) six-phase framework. Platform usage data were analyzed through descriptive statistics and pre-post comparison of student examination scores where available. Triangulation across data sources was employed to enhance validity.</w:t>
      </w:r>
    </w:p>
    <w:p>
      <w:pPr>
        <w:pStyle w:val="Heading2"/>
      </w:pPr>
      <w:r>
        <w:rPr>
          <w:rFonts w:eastAsia="Times New Roman"/>
          <w:rFonts w:ascii="Times New Roman" w:hAnsi="Times New Roman"/>
        </w:rPr>
        <w:t>2.4 Ethical Considerations</w:t>
      </w:r>
    </w:p>
    <w:p>
      <w:pPr>
        <w:spacing w:line="360" w:lineRule="auto" w:after="0" w:before="0"/>
        <w:ind w:firstLine="420"/>
      </w:pPr>
      <w:r>
        <w:rPr>
          <w:rFonts w:eastAsia="Times New Roman"/>
          <w:rFonts w:ascii="Times New Roman" w:hAnsi="Times New Roman"/>
          <w:b w:val="0"/>
          <w:i w:val="0"/>
          <w:sz w:val="24"/>
        </w:rPr>
        <w:t>This study received ethical approval from the author's institutional review board. All participants provided informed consent. School and individual names have been anonymized to protect confidentiality. Permissions for classroom observation were obtained from both school administrations and individual teachers.</w:t>
      </w:r>
    </w:p>
    <w:p>
      <w:pPr>
        <w:pStyle w:val="Heading2"/>
      </w:pPr>
      <w:r>
        <w:rPr>
          <w:rFonts w:eastAsia="Times New Roman"/>
          <w:rFonts w:ascii="Times New Roman" w:hAnsi="Times New Roman"/>
        </w:rPr>
        <w:t>2.5 Research Limitations</w:t>
      </w:r>
    </w:p>
    <w:p>
      <w:pPr>
        <w:spacing w:line="360" w:lineRule="auto" w:after="0" w:before="0"/>
        <w:ind w:firstLine="420"/>
      </w:pPr>
      <w:r>
        <w:rPr>
          <w:rFonts w:eastAsia="Times New Roman"/>
          <w:rFonts w:ascii="Times New Roman" w:hAnsi="Times New Roman"/>
          <w:b w:val="0"/>
          <w:i w:val="0"/>
          <w:sz w:val="24"/>
        </w:rPr>
        <w:t>Several limitations should be acknowledged. First, the three cases, while diverse, do not represent the full range of rural conditions in China. Second, the two-year observation window may be insufficient to capture long-term learning effects. Third, student performance data were drawn from school-administered examinations rather than standardized national tests, which may affect cross-case comparability.</w:t>
      </w:r>
    </w:p>
    <w:p>
      <w:pPr>
        <w:pStyle w:val="Heading1"/>
      </w:pPr>
      <w:r>
        <w:rPr>
          <w:rFonts w:eastAsia="Times New Roman"/>
          <w:rFonts w:ascii="Times New Roman" w:hAnsi="Times New Roman"/>
        </w:rPr>
        <w:t>3. Results</w:t>
      </w:r>
    </w:p>
    <w:p>
      <w:pPr>
        <w:pStyle w:val="Heading2"/>
      </w:pPr>
      <w:r>
        <w:rPr>
          <w:rFonts w:eastAsia="Times New Roman"/>
          <w:rFonts w:ascii="Times New Roman" w:hAnsi="Times New Roman"/>
        </w:rPr>
        <w:t>3.1 Technological Infrastructure: Connectivity and Device Adaptation</w:t>
      </w:r>
    </w:p>
    <w:p>
      <w:pPr>
        <w:spacing w:line="360" w:lineRule="auto" w:after="0" w:before="0"/>
        <w:ind w:firstLine="420"/>
      </w:pPr>
      <w:r>
        <w:rPr>
          <w:rFonts w:eastAsia="Times New Roman"/>
          <w:rFonts w:ascii="Times New Roman" w:hAnsi="Times New Roman"/>
          <w:b w:val="0"/>
          <w:i w:val="0"/>
          <w:sz w:val="24"/>
        </w:rPr>
        <w:t>Across all three cases, the foundational challenge was not the sophistication of AI algorithms but rather the reliability of basic infrastructure. In Gansu's "Satellite School" network, the adoption of low-earth-orbit satellite internet represented a critical innovation. Before satellite connectivity, 23 out of 34 participating schools experienced internet outages averaging 4.7 days per month. By early 2025, average monthly downtime had fallen to 0.8 days (see Figure 1).</w:t>
      </w:r>
    </w:p>
    <w:p>
      <w:pPr>
        <w:spacing w:line="360" w:lineRule="auto" w:after="0" w:before="0"/>
      </w:pPr>
      <w:r>
        <w:rPr>
          <w:rFonts w:eastAsia="Times New Roman"/>
          <w:rFonts w:ascii="Times New Roman" w:hAnsi="Times New Roman"/>
          <w:b/>
          <w:i/>
          <w:sz w:val="22"/>
        </w:rPr>
        <w:t>Figure 1: Monthly Internet Outage Days Before and After Satellite Adoption (Gansu, n=34 schools)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jc w:val="center"/>
            </w:pPr>
            <w:r/>
            <w:r>
              <w:rPr>
                <w:rFonts w:eastAsia="Times New Roman"/>
                <w:rFonts w:ascii="Times New Roman" w:hAnsi="Times New Roman"/>
                <w:b/>
                <w:sz w:val="22"/>
              </w:rPr>
              <w:t>Period</w:t>
            </w:r>
          </w:p>
        </w:tc>
        <w:tc>
          <w:tcPr>
            <w:tcW w:type="dxa" w:w="3120"/>
            <w:shd w:fill="D9E2F3" w:val="clear"/>
          </w:tcPr>
          <w:p>
            <w:pPr>
              <w:jc w:val="center"/>
            </w:pPr>
            <w:r/>
            <w:r>
              <w:rPr>
                <w:rFonts w:eastAsia="Times New Roman"/>
                <w:rFonts w:ascii="Times New Roman" w:hAnsi="Times New Roman"/>
                <w:b/>
                <w:sz w:val="22"/>
              </w:rPr>
              <w:t>Average Outage Days/Month</w:t>
            </w:r>
          </w:p>
        </w:tc>
        <w:tc>
          <w:tcPr>
            <w:tcW w:type="dxa" w:w="3120"/>
            <w:shd w:fill="D9E2F3" w:val="clear"/>
          </w:tcPr>
          <w:p>
            <w:pPr>
              <w:jc w:val="center"/>
            </w:pPr>
            <w:r/>
            <w:r>
              <w:rPr>
                <w:rFonts w:eastAsia="Times New Roman"/>
                <w:rFonts w:ascii="Times New Roman" w:hAnsi="Times New Roman"/>
                <w:b/>
                <w:sz w:val="22"/>
              </w:rPr>
              <w:t>Schools with &gt;3 Outage Days</w:t>
            </w:r>
          </w:p>
        </w:tc>
      </w:tr>
      <w:tr>
        <w:tc>
          <w:tcPr>
            <w:tcW w:type="dxa" w:w="3120"/>
          </w:tcPr>
          <w:p>
            <w:pPr>
              <w:jc w:val="center"/>
            </w:pPr>
            <w:r/>
            <w:r>
              <w:rPr>
                <w:rFonts w:eastAsia="Times New Roman"/>
                <w:rFonts w:ascii="Times New Roman" w:hAnsi="Times New Roman"/>
                <w:sz w:val="22"/>
              </w:rPr>
              <w:t>Pre-satellite (2022)</w:t>
            </w:r>
          </w:p>
        </w:tc>
        <w:tc>
          <w:tcPr>
            <w:tcW w:type="dxa" w:w="3120"/>
          </w:tcPr>
          <w:p>
            <w:pPr>
              <w:jc w:val="center"/>
            </w:pPr>
            <w:r/>
            <w:r>
              <w:rPr>
                <w:rFonts w:eastAsia="Times New Roman"/>
                <w:rFonts w:ascii="Times New Roman" w:hAnsi="Times New Roman"/>
                <w:sz w:val="22"/>
              </w:rPr>
              <w:t>4.7</w:t>
            </w:r>
          </w:p>
        </w:tc>
        <w:tc>
          <w:tcPr>
            <w:tcW w:type="dxa" w:w="3120"/>
          </w:tcPr>
          <w:p>
            <w:pPr>
              <w:jc w:val="center"/>
            </w:pPr>
            <w:r/>
            <w:r>
              <w:rPr>
                <w:rFonts w:eastAsia="Times New Roman"/>
                <w:rFonts w:ascii="Times New Roman" w:hAnsi="Times New Roman"/>
                <w:sz w:val="22"/>
              </w:rPr>
              <w:t>23 (67.6%)</w:t>
            </w:r>
          </w:p>
        </w:tc>
      </w:tr>
      <w:tr>
        <w:tc>
          <w:tcPr>
            <w:tcW w:type="dxa" w:w="3120"/>
          </w:tcPr>
          <w:p>
            <w:pPr>
              <w:jc w:val="center"/>
            </w:pPr>
            <w:r/>
            <w:r>
              <w:rPr>
                <w:rFonts w:eastAsia="Times New Roman"/>
                <w:rFonts w:ascii="Times New Roman" w:hAnsi="Times New Roman"/>
                <w:sz w:val="22"/>
              </w:rPr>
              <w:t>Post-satellite (2025 Q1)</w:t>
            </w:r>
          </w:p>
        </w:tc>
        <w:tc>
          <w:tcPr>
            <w:tcW w:type="dxa" w:w="3120"/>
          </w:tcPr>
          <w:p>
            <w:pPr>
              <w:jc w:val="center"/>
            </w:pPr>
            <w:r/>
            <w:r>
              <w:rPr>
                <w:rFonts w:eastAsia="Times New Roman"/>
                <w:rFonts w:ascii="Times New Roman" w:hAnsi="Times New Roman"/>
                <w:sz w:val="22"/>
              </w:rPr>
              <w:t>0.8</w:t>
            </w:r>
          </w:p>
        </w:tc>
        <w:tc>
          <w:tcPr>
            <w:tcW w:type="dxa" w:w="3120"/>
          </w:tcPr>
          <w:p>
            <w:pPr>
              <w:jc w:val="center"/>
            </w:pPr>
            <w:r/>
            <w:r>
              <w:rPr>
                <w:rFonts w:eastAsia="Times New Roman"/>
                <w:rFonts w:ascii="Times New Roman" w:hAnsi="Times New Roman"/>
                <w:sz w:val="22"/>
              </w:rPr>
              <w:t>3 (8.8%)</w:t>
            </w:r>
          </w:p>
        </w:tc>
      </w:tr>
    </w:tbl>
    <w:p/>
    <w:p>
      <w:pPr>
        <w:spacing w:line="360" w:lineRule="auto" w:after="0" w:before="0"/>
        <w:ind w:firstLine="420"/>
      </w:pPr>
      <w:r>
        <w:rPr>
          <w:rFonts w:eastAsia="Times New Roman"/>
          <w:rFonts w:ascii="Times New Roman" w:hAnsi="Times New Roman"/>
          <w:b w:val="0"/>
          <w:i w:val="0"/>
          <w:sz w:val="24"/>
        </w:rPr>
        <w:t>Device durability emerged as another important consideration. In Guizhou's "Smart Classroom" project, the initial deployment used standard consumer tablets, which experienced a 31% hardware failure rate within the first year, primarily due to humidity and rough handling. After switching to ruggedized educational tablets with reinforced screens and moisture-resistant casings in the second year, the failure rate dropped to 7.2%.</w:t>
      </w:r>
    </w:p>
    <w:p>
      <w:pPr>
        <w:spacing w:line="360" w:lineRule="auto" w:after="0" w:before="0"/>
        <w:ind w:firstLine="420"/>
      </w:pPr>
      <w:r>
        <w:rPr>
          <w:rFonts w:eastAsia="Times New Roman"/>
          <w:rFonts w:ascii="Times New Roman" w:hAnsi="Times New Roman"/>
          <w:b w:val="0"/>
          <w:i w:val="0"/>
          <w:sz w:val="24"/>
        </w:rPr>
        <w:t>The Yunnan "Cloud Bridge" initiative took a different approach by maximizing the use of existing classroom hardware. Rather than distributing individual devices, the project installed a single AI-enabled camera and microphone system per classroom, significantly reducing per-student equipment costs (from approximately ¥2,800 to ¥340 per student annually).</w:t>
      </w:r>
    </w:p>
    <w:p>
      <w:pPr>
        <w:pStyle w:val="Heading2"/>
      </w:pPr>
      <w:r>
        <w:rPr>
          <w:rFonts w:eastAsia="Times New Roman"/>
          <w:rFonts w:ascii="Times New Roman" w:hAnsi="Times New Roman"/>
        </w:rPr>
        <w:t>3.2 Pedagogical Integration: How AI Changed Classroom Practice</w:t>
      </w:r>
    </w:p>
    <w:p>
      <w:pPr>
        <w:spacing w:line="360" w:lineRule="auto" w:after="0" w:before="0"/>
        <w:ind w:firstLine="420"/>
      </w:pPr>
      <w:r>
        <w:rPr>
          <w:rFonts w:eastAsia="Times New Roman"/>
          <w:rFonts w:ascii="Times New Roman" w:hAnsi="Times New Roman"/>
          <w:b w:val="0"/>
          <w:i w:val="0"/>
          <w:sz w:val="24"/>
        </w:rPr>
        <w:t>Classroom observations revealed three distinct patterns of AI integration:</w:t>
      </w:r>
    </w:p>
    <w:p>
      <w:pPr>
        <w:spacing w:line="360" w:lineRule="auto"/>
        <w:ind w:left="420"/>
      </w:pPr>
      <w:r>
        <w:rPr>
          <w:rFonts w:ascii="Times New Roman" w:hAnsi="Times New Roman"/>
          <w:b/>
          <w:sz w:val="24"/>
        </w:rPr>
        <w:t xml:space="preserve">Supplementary Mode (most common in Year 1). </w:t>
      </w:r>
      <w:r>
        <w:rPr>
          <w:rFonts w:ascii="Times New Roman" w:hAnsi="Times New Roman"/>
          <w:sz w:val="24"/>
        </w:rPr>
        <w:t>In 61% of observed classrooms, AI tools were used as supplementary resources—for example, assigning AI-graded homework or using the AI platform for end-of-unit review exercises. Teachers maintained their traditional lecture format for core instruction while delegating practice and assessment to the AI system. This mode required minimal teacher adaptation but also yielded the smallest learning gains.</w:t>
      </w:r>
    </w:p>
    <w:p>
      <w:pPr>
        <w:spacing w:line="360" w:lineRule="auto"/>
        <w:ind w:left="420"/>
      </w:pPr>
      <w:r>
        <w:rPr>
          <w:rFonts w:ascii="Times New Roman" w:hAnsi="Times New Roman"/>
          <w:b/>
          <w:sz w:val="24"/>
        </w:rPr>
        <w:t xml:space="preserve">Blended Mode (growing in Year 2). </w:t>
      </w:r>
      <w:r>
        <w:rPr>
          <w:rFonts w:ascii="Times New Roman" w:hAnsi="Times New Roman"/>
          <w:sz w:val="24"/>
        </w:rPr>
        <w:t>In 28% of classrooms, teachers had progressed to a more integrated approach. A typical 45-minute lesson would begin with 10 minutes of teacher-led concept introduction, followed by 20 minutes of AI-adaptive individual or group exercises (where students worked at their own pace on the platform), and conclude with 15 minutes of teacher-facilitated discussion based on AI-generated analytics of class performance. This mode was associated with the highest student engagement as measured by on-task behavior during observations.</w:t>
      </w:r>
    </w:p>
    <w:p>
      <w:pPr>
        <w:spacing w:line="360" w:lineRule="auto"/>
        <w:ind w:left="420"/>
      </w:pPr>
      <w:r>
        <w:rPr>
          <w:rFonts w:ascii="Times New Roman" w:hAnsi="Times New Roman"/>
          <w:b/>
          <w:sz w:val="24"/>
        </w:rPr>
        <w:t xml:space="preserve">AI-Led Mode (rare, 11%). </w:t>
      </w:r>
      <w:r>
        <w:rPr>
          <w:rFonts w:ascii="Times New Roman" w:hAnsi="Times New Roman"/>
          <w:sz w:val="24"/>
        </w:rPr>
        <w:t>A small number of classrooms, primarily in schools with severe teacher shortages, relied on the AI platform to deliver core instructional content, with the in-class teacher serving primarily as a facilitator and classroom manager. While this mode ensured curriculum coverage in understaffed schools, student engagement scores were notably lower (see Figure 2).</w:t>
      </w:r>
    </w:p>
    <w:p>
      <w:pPr>
        <w:spacing w:line="360" w:lineRule="auto" w:after="0" w:before="0"/>
      </w:pPr>
      <w:r>
        <w:rPr>
          <w:rFonts w:eastAsia="Times New Roman"/>
          <w:rFonts w:ascii="Times New Roman" w:hAnsi="Times New Roman"/>
          <w:b/>
          <w:i/>
          <w:sz w:val="22"/>
        </w:rPr>
        <w:t>Figure 2: Student On-Task Behavior by AI Integration Mode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jc w:val="center"/>
            </w:pPr>
            <w:r/>
            <w:r>
              <w:rPr>
                <w:rFonts w:eastAsia="Times New Roman"/>
                <w:rFonts w:ascii="Times New Roman" w:hAnsi="Times New Roman"/>
                <w:b/>
                <w:sz w:val="22"/>
              </w:rPr>
              <w:t>Integration Mode</w:t>
            </w:r>
          </w:p>
        </w:tc>
        <w:tc>
          <w:tcPr>
            <w:tcW w:type="dxa" w:w="2340"/>
            <w:shd w:fill="D9E2F3" w:val="clear"/>
          </w:tcPr>
          <w:p>
            <w:pPr>
              <w:jc w:val="center"/>
            </w:pPr>
            <w:r/>
            <w:r>
              <w:rPr>
                <w:rFonts w:eastAsia="Times New Roman"/>
                <w:rFonts w:ascii="Times New Roman" w:hAnsi="Times New Roman"/>
                <w:b/>
                <w:sz w:val="22"/>
              </w:rPr>
              <w:t>Observed Classrooms (n=18)</w:t>
            </w:r>
          </w:p>
        </w:tc>
        <w:tc>
          <w:tcPr>
            <w:tcW w:type="dxa" w:w="2340"/>
            <w:shd w:fill="D9E2F3" w:val="clear"/>
          </w:tcPr>
          <w:p>
            <w:pPr>
              <w:jc w:val="center"/>
            </w:pPr>
            <w:r/>
            <w:r>
              <w:rPr>
                <w:rFonts w:eastAsia="Times New Roman"/>
                <w:rFonts w:ascii="Times New Roman" w:hAnsi="Times New Roman"/>
                <w:b/>
                <w:sz w:val="22"/>
              </w:rPr>
              <w:t>Average On-Task Behavior Rate</w:t>
            </w:r>
          </w:p>
        </w:tc>
        <w:tc>
          <w:tcPr>
            <w:tcW w:type="dxa" w:w="2340"/>
            <w:shd w:fill="D9E2F3" w:val="clear"/>
          </w:tcPr>
          <w:p>
            <w:pPr>
              <w:jc w:val="center"/>
            </w:pPr>
            <w:r/>
            <w:r>
              <w:rPr>
                <w:rFonts w:eastAsia="Times New Roman"/>
                <w:rFonts w:ascii="Times New Roman" w:hAnsi="Times New Roman"/>
                <w:b/>
                <w:sz w:val="22"/>
              </w:rPr>
              <w:t>Pre-Post Test Gain (Math)</w:t>
            </w:r>
          </w:p>
        </w:tc>
      </w:tr>
      <w:tr>
        <w:tc>
          <w:tcPr>
            <w:tcW w:type="dxa" w:w="2340"/>
          </w:tcPr>
          <w:p>
            <w:pPr>
              <w:jc w:val="center"/>
            </w:pPr>
            <w:r/>
            <w:r>
              <w:rPr>
                <w:rFonts w:eastAsia="Times New Roman"/>
                <w:rFonts w:ascii="Times New Roman" w:hAnsi="Times New Roman"/>
                <w:sz w:val="22"/>
              </w:rPr>
              <w:t>Supplementary</w:t>
            </w:r>
          </w:p>
        </w:tc>
        <w:tc>
          <w:tcPr>
            <w:tcW w:type="dxa" w:w="2340"/>
          </w:tcPr>
          <w:p>
            <w:pPr>
              <w:jc w:val="center"/>
            </w:pPr>
            <w:r/>
            <w:r>
              <w:rPr>
                <w:rFonts w:eastAsia="Times New Roman"/>
                <w:rFonts w:ascii="Times New Roman" w:hAnsi="Times New Roman"/>
                <w:sz w:val="22"/>
              </w:rPr>
              <w:t>11 (61.1%)</w:t>
            </w:r>
          </w:p>
        </w:tc>
        <w:tc>
          <w:tcPr>
            <w:tcW w:type="dxa" w:w="2340"/>
          </w:tcPr>
          <w:p>
            <w:pPr>
              <w:jc w:val="center"/>
            </w:pPr>
            <w:r/>
            <w:r>
              <w:rPr>
                <w:rFonts w:eastAsia="Times New Roman"/>
                <w:rFonts w:ascii="Times New Roman" w:hAnsi="Times New Roman"/>
                <w:sz w:val="22"/>
              </w:rPr>
              <w:t>72.4%</w:t>
            </w:r>
          </w:p>
        </w:tc>
        <w:tc>
          <w:tcPr>
            <w:tcW w:type="dxa" w:w="2340"/>
          </w:tcPr>
          <w:p>
            <w:pPr>
              <w:jc w:val="center"/>
            </w:pPr>
            <w:r/>
            <w:r>
              <w:rPr>
                <w:rFonts w:eastAsia="Times New Roman"/>
                <w:rFonts w:ascii="Times New Roman" w:hAnsi="Times New Roman"/>
                <w:sz w:val="22"/>
              </w:rPr>
              <w:t>+12.6 points</w:t>
            </w:r>
          </w:p>
        </w:tc>
      </w:tr>
      <w:tr>
        <w:tc>
          <w:tcPr>
            <w:tcW w:type="dxa" w:w="2340"/>
          </w:tcPr>
          <w:p>
            <w:pPr>
              <w:jc w:val="center"/>
            </w:pPr>
            <w:r/>
            <w:r>
              <w:rPr>
                <w:rFonts w:eastAsia="Times New Roman"/>
                <w:rFonts w:ascii="Times New Roman" w:hAnsi="Times New Roman"/>
                <w:sz w:val="22"/>
              </w:rPr>
              <w:t>Blended</w:t>
            </w:r>
          </w:p>
        </w:tc>
        <w:tc>
          <w:tcPr>
            <w:tcW w:type="dxa" w:w="2340"/>
          </w:tcPr>
          <w:p>
            <w:pPr>
              <w:jc w:val="center"/>
            </w:pPr>
            <w:r/>
            <w:r>
              <w:rPr>
                <w:rFonts w:eastAsia="Times New Roman"/>
                <w:rFonts w:ascii="Times New Roman" w:hAnsi="Times New Roman"/>
                <w:sz w:val="22"/>
              </w:rPr>
              <w:t>5 (27.8%)</w:t>
            </w:r>
          </w:p>
        </w:tc>
        <w:tc>
          <w:tcPr>
            <w:tcW w:type="dxa" w:w="2340"/>
          </w:tcPr>
          <w:p>
            <w:pPr>
              <w:jc w:val="center"/>
            </w:pPr>
            <w:r/>
            <w:r>
              <w:rPr>
                <w:rFonts w:eastAsia="Times New Roman"/>
                <w:rFonts w:ascii="Times New Roman" w:hAnsi="Times New Roman"/>
                <w:sz w:val="22"/>
              </w:rPr>
              <w:t>89.3%</w:t>
            </w:r>
          </w:p>
        </w:tc>
        <w:tc>
          <w:tcPr>
            <w:tcW w:type="dxa" w:w="2340"/>
          </w:tcPr>
          <w:p>
            <w:pPr>
              <w:jc w:val="center"/>
            </w:pPr>
            <w:r/>
            <w:r>
              <w:rPr>
                <w:rFonts w:eastAsia="Times New Roman"/>
                <w:rFonts w:ascii="Times New Roman" w:hAnsi="Times New Roman"/>
                <w:sz w:val="22"/>
              </w:rPr>
              <w:t>+21.4 points</w:t>
            </w:r>
          </w:p>
        </w:tc>
      </w:tr>
      <w:tr>
        <w:tc>
          <w:tcPr>
            <w:tcW w:type="dxa" w:w="2340"/>
          </w:tcPr>
          <w:p>
            <w:pPr>
              <w:jc w:val="center"/>
            </w:pPr>
            <w:r/>
            <w:r>
              <w:rPr>
                <w:rFonts w:eastAsia="Times New Roman"/>
                <w:rFonts w:ascii="Times New Roman" w:hAnsi="Times New Roman"/>
                <w:sz w:val="22"/>
              </w:rPr>
              <w:t>AI-Led</w:t>
            </w:r>
          </w:p>
        </w:tc>
        <w:tc>
          <w:tcPr>
            <w:tcW w:type="dxa" w:w="2340"/>
          </w:tcPr>
          <w:p>
            <w:pPr>
              <w:jc w:val="center"/>
            </w:pPr>
            <w:r/>
            <w:r>
              <w:rPr>
                <w:rFonts w:eastAsia="Times New Roman"/>
                <w:rFonts w:ascii="Times New Roman" w:hAnsi="Times New Roman"/>
                <w:sz w:val="22"/>
              </w:rPr>
              <w:t>2 (11.1%)</w:t>
            </w:r>
          </w:p>
        </w:tc>
        <w:tc>
          <w:tcPr>
            <w:tcW w:type="dxa" w:w="2340"/>
          </w:tcPr>
          <w:p>
            <w:pPr>
              <w:jc w:val="center"/>
            </w:pPr>
            <w:r/>
            <w:r>
              <w:rPr>
                <w:rFonts w:eastAsia="Times New Roman"/>
                <w:rFonts w:ascii="Times New Roman" w:hAnsi="Times New Roman"/>
                <w:sz w:val="22"/>
              </w:rPr>
              <w:t>58.7%</w:t>
            </w:r>
          </w:p>
        </w:tc>
        <w:tc>
          <w:tcPr>
            <w:tcW w:type="dxa" w:w="2340"/>
          </w:tcPr>
          <w:p>
            <w:pPr>
              <w:jc w:val="center"/>
            </w:pPr>
            <w:r/>
            <w:r>
              <w:rPr>
                <w:rFonts w:eastAsia="Times New Roman"/>
                <w:rFonts w:ascii="Times New Roman" w:hAnsi="Times New Roman"/>
                <w:sz w:val="22"/>
              </w:rPr>
              <w:t>+9.2 points</w:t>
            </w:r>
          </w:p>
        </w:tc>
      </w:tr>
    </w:tbl>
    <w:p/>
    <w:p>
      <w:pPr>
        <w:pStyle w:val="Heading2"/>
      </w:pPr>
      <w:r>
        <w:rPr>
          <w:rFonts w:eastAsia="Times New Roman"/>
          <w:rFonts w:ascii="Times New Roman" w:hAnsi="Times New Roman"/>
        </w:rPr>
        <w:t>3.3 Teacher Professional Development: The Critical Mediating Factor</w:t>
      </w:r>
    </w:p>
    <w:p>
      <w:pPr>
        <w:spacing w:line="360" w:lineRule="auto" w:after="0" w:before="0"/>
        <w:ind w:firstLine="420"/>
      </w:pPr>
      <w:r>
        <w:rPr>
          <w:rFonts w:eastAsia="Times New Roman"/>
          <w:rFonts w:ascii="Times New Roman" w:hAnsi="Times New Roman"/>
          <w:b w:val="0"/>
          <w:i w:val="0"/>
          <w:sz w:val="24"/>
        </w:rPr>
        <w:t>Interviews consistently identified teacher capacity as the single most important factor determining the success or failure of AI integration. A school principal in Yunnan summarized this finding succinctly:</w:t>
      </w:r>
    </w:p>
    <w:p>
      <w:pPr>
        <w:spacing w:line="360" w:lineRule="auto"/>
        <w:ind w:left="850" w:right="850"/>
      </w:pPr>
      <w:r>
        <w:rPr>
          <w:rFonts w:ascii="Times New Roman" w:hAnsi="Times New Roman"/>
          <w:i/>
          <w:sz w:val="24"/>
        </w:rPr>
        <w:t>"The technology itself is ready. The bottleneck is always the teacher. If the teacher doesn't know how to use the AI data to adjust their teaching, the tablet just becomes an expensive exercise book." (Principal Li, Case B, Interview #11)</w:t>
      </w:r>
    </w:p>
    <w:p>
      <w:pPr>
        <w:spacing w:line="360" w:lineRule="auto" w:after="0" w:before="0"/>
        <w:ind w:firstLine="420"/>
      </w:pPr>
      <w:r>
        <w:rPr>
          <w:rFonts w:eastAsia="Times New Roman"/>
          <w:rFonts w:ascii="Times New Roman" w:hAnsi="Times New Roman"/>
          <w:b w:val="0"/>
          <w:i w:val="0"/>
          <w:sz w:val="24"/>
        </w:rPr>
        <w:t>All three projects included teacher training components, but the depth and continuity of training varied substantially. Case B (Yunnan) provided the most comprehensive support: an initial five-day intensive workshop, followed by bi-weekly online coaching sessions and a peer learning community on WeChat. By the second year, 76% of participating teachers in Case B reported feeling "confident" or "very confident" in using AI analytics to inform their instruction, compared to 41% in Case A and 33% in Case C.</w:t>
      </w:r>
    </w:p>
    <w:p>
      <w:pPr>
        <w:spacing w:line="360" w:lineRule="auto" w:after="0" w:before="0"/>
      </w:pPr>
      <w:r>
        <w:rPr>
          <w:rFonts w:eastAsia="Times New Roman"/>
          <w:rFonts w:ascii="Times New Roman" w:hAnsi="Times New Roman"/>
          <w:b/>
          <w:i/>
          <w:sz w:val="22"/>
        </w:rPr>
        <w:t>Figure 3: Teacher Confidence in AI-Integrated Teaching After 18 Months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jc w:val="center"/>
            </w:pPr>
            <w:r/>
            <w:r>
              <w:rPr>
                <w:rFonts w:eastAsia="Times New Roman"/>
                <w:rFonts w:ascii="Times New Roman" w:hAnsi="Times New Roman"/>
                <w:b/>
                <w:sz w:val="22"/>
              </w:rPr>
              <w:t>Confidence Level</w:t>
            </w:r>
          </w:p>
        </w:tc>
        <w:tc>
          <w:tcPr>
            <w:tcW w:type="dxa" w:w="2340"/>
            <w:shd w:fill="D9E2F3" w:val="clear"/>
          </w:tcPr>
          <w:p>
            <w:pPr>
              <w:jc w:val="center"/>
            </w:pPr>
            <w:r/>
            <w:r>
              <w:rPr>
                <w:rFonts w:eastAsia="Times New Roman"/>
                <w:rFonts w:ascii="Times New Roman" w:hAnsi="Times New Roman"/>
                <w:b/>
                <w:sz w:val="22"/>
              </w:rPr>
              <w:t>Case A (Guizhou)</w:t>
            </w:r>
          </w:p>
        </w:tc>
        <w:tc>
          <w:tcPr>
            <w:tcW w:type="dxa" w:w="2340"/>
            <w:shd w:fill="D9E2F3" w:val="clear"/>
          </w:tcPr>
          <w:p>
            <w:pPr>
              <w:jc w:val="center"/>
            </w:pPr>
            <w:r/>
            <w:r>
              <w:rPr>
                <w:rFonts w:eastAsia="Times New Roman"/>
                <w:rFonts w:ascii="Times New Roman" w:hAnsi="Times New Roman"/>
                <w:b/>
                <w:sz w:val="22"/>
              </w:rPr>
              <w:t>Case B (Yunnan)</w:t>
            </w:r>
          </w:p>
        </w:tc>
        <w:tc>
          <w:tcPr>
            <w:tcW w:type="dxa" w:w="2340"/>
            <w:shd w:fill="D9E2F3" w:val="clear"/>
          </w:tcPr>
          <w:p>
            <w:pPr>
              <w:jc w:val="center"/>
            </w:pPr>
            <w:r/>
            <w:r>
              <w:rPr>
                <w:rFonts w:eastAsia="Times New Roman"/>
                <w:rFonts w:ascii="Times New Roman" w:hAnsi="Times New Roman"/>
                <w:b/>
                <w:sz w:val="22"/>
              </w:rPr>
              <w:t>Case C (Gansu)</w:t>
            </w:r>
          </w:p>
        </w:tc>
      </w:tr>
      <w:tr>
        <w:tc>
          <w:tcPr>
            <w:tcW w:type="dxa" w:w="2340"/>
          </w:tcPr>
          <w:p>
            <w:pPr>
              <w:jc w:val="center"/>
            </w:pPr>
            <w:r/>
            <w:r>
              <w:rPr>
                <w:rFonts w:eastAsia="Times New Roman"/>
                <w:rFonts w:ascii="Times New Roman" w:hAnsi="Times New Roman"/>
                <w:sz w:val="22"/>
              </w:rPr>
              <w:t>Very confident</w:t>
            </w:r>
          </w:p>
        </w:tc>
        <w:tc>
          <w:tcPr>
            <w:tcW w:type="dxa" w:w="2340"/>
          </w:tcPr>
          <w:p>
            <w:pPr>
              <w:jc w:val="center"/>
            </w:pPr>
            <w:r/>
            <w:r>
              <w:rPr>
                <w:rFonts w:eastAsia="Times New Roman"/>
                <w:rFonts w:ascii="Times New Roman" w:hAnsi="Times New Roman"/>
                <w:sz w:val="22"/>
              </w:rPr>
              <w:t>8%</w:t>
            </w:r>
          </w:p>
        </w:tc>
        <w:tc>
          <w:tcPr>
            <w:tcW w:type="dxa" w:w="2340"/>
          </w:tcPr>
          <w:p>
            <w:pPr>
              <w:jc w:val="center"/>
            </w:pPr>
            <w:r/>
            <w:r>
              <w:rPr>
                <w:rFonts w:eastAsia="Times New Roman"/>
                <w:rFonts w:ascii="Times New Roman" w:hAnsi="Times New Roman"/>
                <w:sz w:val="22"/>
              </w:rPr>
              <w:t>31%</w:t>
            </w:r>
          </w:p>
        </w:tc>
        <w:tc>
          <w:tcPr>
            <w:tcW w:type="dxa" w:w="2340"/>
          </w:tcPr>
          <w:p>
            <w:pPr>
              <w:jc w:val="center"/>
            </w:pPr>
            <w:r/>
            <w:r>
              <w:rPr>
                <w:rFonts w:eastAsia="Times New Roman"/>
                <w:rFonts w:ascii="Times New Roman" w:hAnsi="Times New Roman"/>
                <w:sz w:val="22"/>
              </w:rPr>
              <w:t>5%</w:t>
            </w:r>
          </w:p>
        </w:tc>
      </w:tr>
      <w:tr>
        <w:tc>
          <w:tcPr>
            <w:tcW w:type="dxa" w:w="2340"/>
          </w:tcPr>
          <w:p>
            <w:pPr>
              <w:jc w:val="center"/>
            </w:pPr>
            <w:r/>
            <w:r>
              <w:rPr>
                <w:rFonts w:eastAsia="Times New Roman"/>
                <w:rFonts w:ascii="Times New Roman" w:hAnsi="Times New Roman"/>
                <w:sz w:val="22"/>
              </w:rPr>
              <w:t>Confident</w:t>
            </w:r>
          </w:p>
        </w:tc>
        <w:tc>
          <w:tcPr>
            <w:tcW w:type="dxa" w:w="2340"/>
          </w:tcPr>
          <w:p>
            <w:pPr>
              <w:jc w:val="center"/>
            </w:pPr>
            <w:r/>
            <w:r>
              <w:rPr>
                <w:rFonts w:eastAsia="Times New Roman"/>
                <w:rFonts w:ascii="Times New Roman" w:hAnsi="Times New Roman"/>
                <w:sz w:val="22"/>
              </w:rPr>
              <w:t>33%</w:t>
            </w:r>
          </w:p>
        </w:tc>
        <w:tc>
          <w:tcPr>
            <w:tcW w:type="dxa" w:w="2340"/>
          </w:tcPr>
          <w:p>
            <w:pPr>
              <w:jc w:val="center"/>
            </w:pPr>
            <w:r/>
            <w:r>
              <w:rPr>
                <w:rFonts w:eastAsia="Times New Roman"/>
                <w:rFonts w:ascii="Times New Roman" w:hAnsi="Times New Roman"/>
                <w:sz w:val="22"/>
              </w:rPr>
              <w:t>45%</w:t>
            </w:r>
          </w:p>
        </w:tc>
        <w:tc>
          <w:tcPr>
            <w:tcW w:type="dxa" w:w="2340"/>
          </w:tcPr>
          <w:p>
            <w:pPr>
              <w:jc w:val="center"/>
            </w:pPr>
            <w:r/>
            <w:r>
              <w:rPr>
                <w:rFonts w:eastAsia="Times New Roman"/>
                <w:rFonts w:ascii="Times New Roman" w:hAnsi="Times New Roman"/>
                <w:sz w:val="22"/>
              </w:rPr>
              <w:t>28%</w:t>
            </w:r>
          </w:p>
        </w:tc>
      </w:tr>
      <w:tr>
        <w:tc>
          <w:tcPr>
            <w:tcW w:type="dxa" w:w="2340"/>
          </w:tcPr>
          <w:p>
            <w:pPr>
              <w:jc w:val="center"/>
            </w:pPr>
            <w:r/>
            <w:r>
              <w:rPr>
                <w:rFonts w:eastAsia="Times New Roman"/>
                <w:rFonts w:ascii="Times New Roman" w:hAnsi="Times New Roman"/>
                <w:sz w:val="22"/>
              </w:rPr>
              <w:t>Somewhat confident</w:t>
            </w:r>
          </w:p>
        </w:tc>
        <w:tc>
          <w:tcPr>
            <w:tcW w:type="dxa" w:w="2340"/>
          </w:tcPr>
          <w:p>
            <w:pPr>
              <w:jc w:val="center"/>
            </w:pPr>
            <w:r/>
            <w:r>
              <w:rPr>
                <w:rFonts w:eastAsia="Times New Roman"/>
                <w:rFonts w:ascii="Times New Roman" w:hAnsi="Times New Roman"/>
                <w:sz w:val="22"/>
              </w:rPr>
              <w:t>42%</w:t>
            </w:r>
          </w:p>
        </w:tc>
        <w:tc>
          <w:tcPr>
            <w:tcW w:type="dxa" w:w="2340"/>
          </w:tcPr>
          <w:p>
            <w:pPr>
              <w:jc w:val="center"/>
            </w:pPr>
            <w:r/>
            <w:r>
              <w:rPr>
                <w:rFonts w:eastAsia="Times New Roman"/>
                <w:rFonts w:ascii="Times New Roman" w:hAnsi="Times New Roman"/>
                <w:sz w:val="22"/>
              </w:rPr>
              <w:t>19%</w:t>
            </w:r>
          </w:p>
        </w:tc>
        <w:tc>
          <w:tcPr>
            <w:tcW w:type="dxa" w:w="2340"/>
          </w:tcPr>
          <w:p>
            <w:pPr>
              <w:jc w:val="center"/>
            </w:pPr>
            <w:r/>
            <w:r>
              <w:rPr>
                <w:rFonts w:eastAsia="Times New Roman"/>
                <w:rFonts w:ascii="Times New Roman" w:hAnsi="Times New Roman"/>
                <w:sz w:val="22"/>
              </w:rPr>
              <w:t>44%</w:t>
            </w:r>
          </w:p>
        </w:tc>
      </w:tr>
      <w:tr>
        <w:tc>
          <w:tcPr>
            <w:tcW w:type="dxa" w:w="2340"/>
          </w:tcPr>
          <w:p>
            <w:pPr>
              <w:jc w:val="center"/>
            </w:pPr>
            <w:r/>
            <w:r>
              <w:rPr>
                <w:rFonts w:eastAsia="Times New Roman"/>
                <w:rFonts w:ascii="Times New Roman" w:hAnsi="Times New Roman"/>
                <w:sz w:val="22"/>
              </w:rPr>
              <w:t>Not confident</w:t>
            </w:r>
          </w:p>
        </w:tc>
        <w:tc>
          <w:tcPr>
            <w:tcW w:type="dxa" w:w="2340"/>
          </w:tcPr>
          <w:p>
            <w:pPr>
              <w:jc w:val="center"/>
            </w:pPr>
            <w:r/>
            <w:r>
              <w:rPr>
                <w:rFonts w:eastAsia="Times New Roman"/>
                <w:rFonts w:ascii="Times New Roman" w:hAnsi="Times New Roman"/>
                <w:sz w:val="22"/>
              </w:rPr>
              <w:t>17%</w:t>
            </w:r>
          </w:p>
        </w:tc>
        <w:tc>
          <w:tcPr>
            <w:tcW w:type="dxa" w:w="2340"/>
          </w:tcPr>
          <w:p>
            <w:pPr>
              <w:jc w:val="center"/>
            </w:pPr>
            <w:r/>
            <w:r>
              <w:rPr>
                <w:rFonts w:eastAsia="Times New Roman"/>
                <w:rFonts w:ascii="Times New Roman" w:hAnsi="Times New Roman"/>
                <w:sz w:val="22"/>
              </w:rPr>
              <w:t>5%</w:t>
            </w:r>
          </w:p>
        </w:tc>
        <w:tc>
          <w:tcPr>
            <w:tcW w:type="dxa" w:w="2340"/>
          </w:tcPr>
          <w:p>
            <w:pPr>
              <w:jc w:val="center"/>
            </w:pPr>
            <w:r/>
            <w:r>
              <w:rPr>
                <w:rFonts w:eastAsia="Times New Roman"/>
                <w:rFonts w:ascii="Times New Roman" w:hAnsi="Times New Roman"/>
                <w:sz w:val="22"/>
              </w:rPr>
              <w:t>23%</w:t>
            </w:r>
          </w:p>
        </w:tc>
      </w:tr>
    </w:tbl>
    <w:p/>
    <w:p>
      <w:pPr>
        <w:spacing w:line="360" w:lineRule="auto" w:after="0" w:before="0"/>
        <w:ind w:firstLine="420"/>
      </w:pPr>
      <w:r>
        <w:rPr>
          <w:rFonts w:eastAsia="Times New Roman"/>
          <w:rFonts w:ascii="Times New Roman" w:hAnsi="Times New Roman"/>
          <w:b w:val="0"/>
          <w:i w:val="0"/>
          <w:sz w:val="24"/>
        </w:rPr>
        <w:t>The qualitative data revealed that the key differentiator was not the quantity of training hours but the presence of ongoing, classroom-embedded support. Teachers in Case B specifically highlighted the value of the WeChat peer community, where they could share lesson plans, troubleshoot technical issues, and discuss pedagogical strategies with colleagues facing similar challenges.</w:t>
      </w:r>
    </w:p>
    <w:p>
      <w:pPr>
        <w:pStyle w:val="Heading2"/>
      </w:pPr>
      <w:r>
        <w:rPr>
          <w:rFonts w:eastAsia="Times New Roman"/>
          <w:rFonts w:ascii="Times New Roman" w:hAnsi="Times New Roman"/>
        </w:rPr>
        <w:t>3.4 Learning Outcomes: Measurable Gains with Uneven Distribution</w:t>
      </w:r>
    </w:p>
    <w:p>
      <w:pPr>
        <w:spacing w:line="360" w:lineRule="auto" w:after="0" w:before="0"/>
        <w:ind w:firstLine="420"/>
      </w:pPr>
      <w:r>
        <w:rPr>
          <w:rFonts w:eastAsia="Times New Roman"/>
          <w:rFonts w:ascii="Times New Roman" w:hAnsi="Times New Roman"/>
          <w:b w:val="0"/>
          <w:i w:val="0"/>
          <w:sz w:val="24"/>
        </w:rPr>
        <w:t>Pre-post comparison of school-administered examination scores (baseline: September 2023; follow-up: June 2025) showed overall positive trends but with significant variation across subjects and student subgroups.</w:t>
      </w:r>
    </w:p>
    <w:p>
      <w:pPr>
        <w:spacing w:line="360" w:lineRule="auto" w:after="0" w:before="0"/>
      </w:pPr>
      <w:r>
        <w:rPr>
          <w:rFonts w:eastAsia="Times New Roman"/>
          <w:rFonts w:ascii="Times New Roman" w:hAnsi="Times New Roman"/>
          <w:b/>
          <w:i/>
          <w:sz w:val="22"/>
        </w:rPr>
        <w:t>Figure 4: Average Score Improvement by Subject (Combined Across Three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pPr>
              <w:jc w:val="center"/>
            </w:pPr>
            <w:r/>
            <w:r>
              <w:rPr>
                <w:rFonts w:eastAsia="Times New Roman"/>
                <w:rFonts w:ascii="Times New Roman" w:hAnsi="Times New Roman"/>
                <w:b/>
                <w:sz w:val="22"/>
              </w:rPr>
              <w:t>Subject</w:t>
            </w:r>
          </w:p>
        </w:tc>
        <w:tc>
          <w:tcPr>
            <w:tcW w:type="dxa" w:w="1872"/>
            <w:shd w:fill="D9E2F3" w:val="clear"/>
          </w:tcPr>
          <w:p>
            <w:pPr>
              <w:jc w:val="center"/>
            </w:pPr>
            <w:r/>
            <w:r>
              <w:rPr>
                <w:rFonts w:eastAsia="Times New Roman"/>
                <w:rFonts w:ascii="Times New Roman" w:hAnsi="Times New Roman"/>
                <w:b/>
                <w:sz w:val="22"/>
              </w:rPr>
              <w:t>Baseline Mean (SD)</w:t>
            </w:r>
          </w:p>
        </w:tc>
        <w:tc>
          <w:tcPr>
            <w:tcW w:type="dxa" w:w="1872"/>
            <w:shd w:fill="D9E2F3" w:val="clear"/>
          </w:tcPr>
          <w:p>
            <w:pPr>
              <w:jc w:val="center"/>
            </w:pPr>
            <w:r/>
            <w:r>
              <w:rPr>
                <w:rFonts w:eastAsia="Times New Roman"/>
                <w:rFonts w:ascii="Times New Roman" w:hAnsi="Times New Roman"/>
                <w:b/>
                <w:sz w:val="22"/>
              </w:rPr>
              <w:t>Follow-up Mean (SD)</w:t>
            </w:r>
          </w:p>
        </w:tc>
        <w:tc>
          <w:tcPr>
            <w:tcW w:type="dxa" w:w="1872"/>
            <w:shd w:fill="D9E2F3" w:val="clear"/>
          </w:tcPr>
          <w:p>
            <w:pPr>
              <w:jc w:val="center"/>
            </w:pPr>
            <w:r/>
            <w:r>
              <w:rPr>
                <w:rFonts w:eastAsia="Times New Roman"/>
                <w:rFonts w:ascii="Times New Roman" w:hAnsi="Times New Roman"/>
                <w:b/>
                <w:sz w:val="22"/>
              </w:rPr>
              <w:t>Mean Gain</w:t>
            </w:r>
          </w:p>
        </w:tc>
        <w:tc>
          <w:tcPr>
            <w:tcW w:type="dxa" w:w="1872"/>
            <w:shd w:fill="D9E2F3" w:val="clear"/>
          </w:tcPr>
          <w:p>
            <w:pPr>
              <w:jc w:val="center"/>
            </w:pPr>
            <w:r/>
            <w:r>
              <w:rPr>
                <w:rFonts w:eastAsia="Times New Roman"/>
                <w:rFonts w:ascii="Times New Roman" w:hAnsi="Times New Roman"/>
                <w:b/>
                <w:sz w:val="22"/>
              </w:rPr>
              <w:t>Effect Size (Cohen's d)</w:t>
            </w:r>
          </w:p>
        </w:tc>
      </w:tr>
      <w:tr>
        <w:tc>
          <w:tcPr>
            <w:tcW w:type="dxa" w:w="1872"/>
          </w:tcPr>
          <w:p>
            <w:pPr>
              <w:jc w:val="center"/>
            </w:pPr>
            <w:r/>
            <w:r>
              <w:rPr>
                <w:rFonts w:eastAsia="Times New Roman"/>
                <w:rFonts w:ascii="Times New Roman" w:hAnsi="Times New Roman"/>
                <w:sz w:val="22"/>
              </w:rPr>
              <w:t>Mathematics</w:t>
            </w:r>
          </w:p>
        </w:tc>
        <w:tc>
          <w:tcPr>
            <w:tcW w:type="dxa" w:w="1872"/>
          </w:tcPr>
          <w:p>
            <w:pPr>
              <w:jc w:val="center"/>
            </w:pPr>
            <w:r/>
            <w:r>
              <w:rPr>
                <w:rFonts w:eastAsia="Times New Roman"/>
                <w:rFonts w:ascii="Times New Roman" w:hAnsi="Times New Roman"/>
                <w:sz w:val="22"/>
              </w:rPr>
              <w:t>67.3 (18.4)</w:t>
            </w:r>
          </w:p>
        </w:tc>
        <w:tc>
          <w:tcPr>
            <w:tcW w:type="dxa" w:w="1872"/>
          </w:tcPr>
          <w:p>
            <w:pPr>
              <w:jc w:val="center"/>
            </w:pPr>
            <w:r/>
            <w:r>
              <w:rPr>
                <w:rFonts w:eastAsia="Times New Roman"/>
                <w:rFonts w:ascii="Times New Roman" w:hAnsi="Times New Roman"/>
                <w:sz w:val="22"/>
              </w:rPr>
              <w:t>79.6 (15.2)</w:t>
            </w:r>
          </w:p>
        </w:tc>
        <w:tc>
          <w:tcPr>
            <w:tcW w:type="dxa" w:w="1872"/>
          </w:tcPr>
          <w:p>
            <w:pPr>
              <w:jc w:val="center"/>
            </w:pPr>
            <w:r/>
            <w:r>
              <w:rPr>
                <w:rFonts w:eastAsia="Times New Roman"/>
                <w:rFonts w:ascii="Times New Roman" w:hAnsi="Times New Roman"/>
                <w:sz w:val="22"/>
              </w:rPr>
              <w:t>+12.3***</w:t>
            </w:r>
          </w:p>
        </w:tc>
        <w:tc>
          <w:tcPr>
            <w:tcW w:type="dxa" w:w="1872"/>
          </w:tcPr>
          <w:p>
            <w:pPr>
              <w:jc w:val="center"/>
            </w:pPr>
            <w:r/>
            <w:r>
              <w:rPr>
                <w:rFonts w:eastAsia="Times New Roman"/>
                <w:rFonts w:ascii="Times New Roman" w:hAnsi="Times New Roman"/>
                <w:sz w:val="22"/>
              </w:rPr>
              <w:t>0.73</w:t>
            </w:r>
          </w:p>
        </w:tc>
      </w:tr>
      <w:tr>
        <w:tc>
          <w:tcPr>
            <w:tcW w:type="dxa" w:w="1872"/>
          </w:tcPr>
          <w:p>
            <w:pPr>
              <w:jc w:val="center"/>
            </w:pPr>
            <w:r/>
            <w:r>
              <w:rPr>
                <w:rFonts w:eastAsia="Times New Roman"/>
                <w:rFonts w:ascii="Times New Roman" w:hAnsi="Times New Roman"/>
                <w:sz w:val="22"/>
              </w:rPr>
              <w:t>English</w:t>
            </w:r>
          </w:p>
        </w:tc>
        <w:tc>
          <w:tcPr>
            <w:tcW w:type="dxa" w:w="1872"/>
          </w:tcPr>
          <w:p>
            <w:pPr>
              <w:jc w:val="center"/>
            </w:pPr>
            <w:r/>
            <w:r>
              <w:rPr>
                <w:rFonts w:eastAsia="Times New Roman"/>
                <w:rFonts w:ascii="Times New Roman" w:hAnsi="Times New Roman"/>
                <w:sz w:val="22"/>
              </w:rPr>
              <w:t>64.8 (20.1)</w:t>
            </w:r>
          </w:p>
        </w:tc>
        <w:tc>
          <w:tcPr>
            <w:tcW w:type="dxa" w:w="1872"/>
          </w:tcPr>
          <w:p>
            <w:pPr>
              <w:jc w:val="center"/>
            </w:pPr>
            <w:r/>
            <w:r>
              <w:rPr>
                <w:rFonts w:eastAsia="Times New Roman"/>
                <w:rFonts w:ascii="Times New Roman" w:hAnsi="Times New Roman"/>
                <w:sz w:val="22"/>
              </w:rPr>
              <w:t>76.2 (16.8)</w:t>
            </w:r>
          </w:p>
        </w:tc>
        <w:tc>
          <w:tcPr>
            <w:tcW w:type="dxa" w:w="1872"/>
          </w:tcPr>
          <w:p>
            <w:pPr>
              <w:jc w:val="center"/>
            </w:pPr>
            <w:r/>
            <w:r>
              <w:rPr>
                <w:rFonts w:eastAsia="Times New Roman"/>
                <w:rFonts w:ascii="Times New Roman" w:hAnsi="Times New Roman"/>
                <w:sz w:val="22"/>
              </w:rPr>
              <w:t>+11.4***</w:t>
            </w:r>
          </w:p>
        </w:tc>
        <w:tc>
          <w:tcPr>
            <w:tcW w:type="dxa" w:w="1872"/>
          </w:tcPr>
          <w:p>
            <w:pPr>
              <w:jc w:val="center"/>
            </w:pPr>
            <w:r/>
            <w:r>
              <w:rPr>
                <w:rFonts w:eastAsia="Times New Roman"/>
                <w:rFonts w:ascii="Times New Roman" w:hAnsi="Times New Roman"/>
                <w:sz w:val="22"/>
              </w:rPr>
              <w:t>0.61</w:t>
            </w:r>
          </w:p>
        </w:tc>
      </w:tr>
      <w:tr>
        <w:tc>
          <w:tcPr>
            <w:tcW w:type="dxa" w:w="1872"/>
          </w:tcPr>
          <w:p>
            <w:pPr>
              <w:jc w:val="center"/>
            </w:pPr>
            <w:r/>
            <w:r>
              <w:rPr>
                <w:rFonts w:eastAsia="Times New Roman"/>
                <w:rFonts w:ascii="Times New Roman" w:hAnsi="Times New Roman"/>
                <w:sz w:val="22"/>
              </w:rPr>
              <w:t>Chinese</w:t>
            </w:r>
          </w:p>
        </w:tc>
        <w:tc>
          <w:tcPr>
            <w:tcW w:type="dxa" w:w="1872"/>
          </w:tcPr>
          <w:p>
            <w:pPr>
              <w:jc w:val="center"/>
            </w:pPr>
            <w:r/>
            <w:r>
              <w:rPr>
                <w:rFonts w:eastAsia="Times New Roman"/>
                <w:rFonts w:ascii="Times New Roman" w:hAnsi="Times New Roman"/>
                <w:sz w:val="22"/>
              </w:rPr>
              <w:t>72.1 (14.7)</w:t>
            </w:r>
          </w:p>
        </w:tc>
        <w:tc>
          <w:tcPr>
            <w:tcW w:type="dxa" w:w="1872"/>
          </w:tcPr>
          <w:p>
            <w:pPr>
              <w:jc w:val="center"/>
            </w:pPr>
            <w:r/>
            <w:r>
              <w:rPr>
                <w:rFonts w:eastAsia="Times New Roman"/>
                <w:rFonts w:ascii="Times New Roman" w:hAnsi="Times New Roman"/>
                <w:sz w:val="22"/>
              </w:rPr>
              <w:t>76.8 (13.3)</w:t>
            </w:r>
          </w:p>
        </w:tc>
        <w:tc>
          <w:tcPr>
            <w:tcW w:type="dxa" w:w="1872"/>
          </w:tcPr>
          <w:p>
            <w:pPr>
              <w:jc w:val="center"/>
            </w:pPr>
            <w:r/>
            <w:r>
              <w:rPr>
                <w:rFonts w:eastAsia="Times New Roman"/>
                <w:rFonts w:ascii="Times New Roman" w:hAnsi="Times New Roman"/>
                <w:sz w:val="22"/>
              </w:rPr>
              <w:t>+4.7*</w:t>
            </w:r>
          </w:p>
        </w:tc>
        <w:tc>
          <w:tcPr>
            <w:tcW w:type="dxa" w:w="1872"/>
          </w:tcPr>
          <w:p>
            <w:pPr>
              <w:jc w:val="center"/>
            </w:pPr>
            <w:r/>
            <w:r>
              <w:rPr>
                <w:rFonts w:eastAsia="Times New Roman"/>
                <w:rFonts w:ascii="Times New Roman" w:hAnsi="Times New Roman"/>
                <w:sz w:val="22"/>
              </w:rPr>
              <w:t>0.33</w:t>
            </w:r>
          </w:p>
        </w:tc>
      </w:tr>
    </w:tbl>
    <w:p/>
    <w:p>
      <w:pPr>
        <w:spacing w:line="360" w:lineRule="auto" w:after="0" w:before="0"/>
      </w:pPr>
      <w:r>
        <w:rPr>
          <w:rFonts w:eastAsia="Times New Roman"/>
          <w:rFonts w:ascii="Times New Roman" w:hAnsi="Times New Roman"/>
          <w:b w:val="0"/>
          <w:i/>
          <w:sz w:val="20"/>
        </w:rPr>
        <w:t>Note: *p&lt;0.05, ***p&lt;0.001</w:t>
      </w:r>
    </w:p>
    <w:p>
      <w:pPr>
        <w:spacing w:line="360" w:lineRule="auto" w:after="0" w:before="0"/>
        <w:ind w:firstLine="420"/>
      </w:pPr>
      <w:r>
        <w:rPr>
          <w:rFonts w:eastAsia="Times New Roman"/>
          <w:rFonts w:ascii="Times New Roman" w:hAnsi="Times New Roman"/>
          <w:b w:val="0"/>
          <w:i w:val="0"/>
          <w:sz w:val="24"/>
        </w:rPr>
        <w:t>Mathematics showed the largest improvement, which teachers attributed to the AI platform's strength in providing step-by-step adaptive practice problems—a form of support particularly valuable in classrooms where teachers themselves sometimes struggled with advanced math concepts. English also showed substantial gains, driven largely by the AI's speech recognition and pronunciation feedback features, which compensated for the shortage of qualified English teachers in rural areas (only 23% of English teachers across the three cases held a bachelor's degree in English).</w:t>
      </w:r>
    </w:p>
    <w:p>
      <w:pPr>
        <w:spacing w:line="360" w:lineRule="auto" w:after="0" w:before="0"/>
        <w:ind w:firstLine="420"/>
      </w:pPr>
      <w:r>
        <w:rPr>
          <w:rFonts w:eastAsia="Times New Roman"/>
          <w:rFonts w:ascii="Times New Roman" w:hAnsi="Times New Roman"/>
          <w:b w:val="0"/>
          <w:i w:val="0"/>
          <w:sz w:val="24"/>
        </w:rPr>
        <w:t>An important finding was the differentiated impact across student achievement levels. In all three cases, middle-performing students (scoring between the 30th and 70th percentile at baseline) showed the largest gains (+16.8 points on average across subjects), while the lowest-performing students (below 30th percentile) showed more modest improvement (+7.3 points). This suggests that AI adaptive learning, in its current form, may be most effective when students already possess foundational literacy and numeracy skills sufficient to engage with the platform independently.</w:t>
      </w:r>
    </w:p>
    <w:p>
      <w:pPr>
        <w:spacing w:line="360" w:lineRule="auto" w:after="0" w:before="0"/>
      </w:pPr>
      <w:r>
        <w:rPr>
          <w:rFonts w:eastAsia="Times New Roman"/>
          <w:rFonts w:ascii="Times New Roman" w:hAnsi="Times New Roman"/>
          <w:b/>
          <w:i/>
          <w:sz w:val="22"/>
        </w:rPr>
        <w:t>Figure 5: Score Gains by Baseline Performance Quartile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jc w:val="center"/>
            </w:pPr>
            <w:r/>
            <w:r>
              <w:rPr>
                <w:rFonts w:eastAsia="Times New Roman"/>
                <w:rFonts w:ascii="Times New Roman" w:hAnsi="Times New Roman"/>
                <w:b/>
                <w:sz w:val="22"/>
              </w:rPr>
              <w:t>Baseline Quartile</w:t>
            </w:r>
          </w:p>
        </w:tc>
        <w:tc>
          <w:tcPr>
            <w:tcW w:type="dxa" w:w="3120"/>
            <w:shd w:fill="D9E2F3" w:val="clear"/>
          </w:tcPr>
          <w:p>
            <w:pPr>
              <w:jc w:val="center"/>
            </w:pPr>
            <w:r/>
            <w:r>
              <w:rPr>
                <w:rFonts w:eastAsia="Times New Roman"/>
                <w:rFonts w:ascii="Times New Roman" w:hAnsi="Times New Roman"/>
                <w:b/>
                <w:sz w:val="22"/>
              </w:rPr>
              <w:t>Mean Gain (All Subjects)</w:t>
            </w:r>
          </w:p>
        </w:tc>
        <w:tc>
          <w:tcPr>
            <w:tcW w:type="dxa" w:w="3120"/>
            <w:shd w:fill="D9E2F3" w:val="clear"/>
          </w:tcPr>
          <w:p>
            <w:pPr>
              <w:jc w:val="center"/>
            </w:pPr>
            <w:r/>
            <w:r>
              <w:rPr>
                <w:rFonts w:eastAsia="Times New Roman"/>
                <w:rFonts w:ascii="Times New Roman" w:hAnsi="Times New Roman"/>
                <w:b/>
                <w:sz w:val="22"/>
              </w:rPr>
              <w:t>Number of Students</w:t>
            </w:r>
          </w:p>
        </w:tc>
      </w:tr>
      <w:tr>
        <w:tc>
          <w:tcPr>
            <w:tcW w:type="dxa" w:w="3120"/>
          </w:tcPr>
          <w:p>
            <w:pPr>
              <w:jc w:val="center"/>
            </w:pPr>
            <w:r/>
            <w:r>
              <w:rPr>
                <w:rFonts w:eastAsia="Times New Roman"/>
                <w:rFonts w:ascii="Times New Roman" w:hAnsi="Times New Roman"/>
                <w:sz w:val="22"/>
              </w:rPr>
              <w:t>Q1 (Bottom 25%)</w:t>
            </w:r>
          </w:p>
        </w:tc>
        <w:tc>
          <w:tcPr>
            <w:tcW w:type="dxa" w:w="3120"/>
          </w:tcPr>
          <w:p>
            <w:pPr>
              <w:jc w:val="center"/>
            </w:pPr>
            <w:r/>
            <w:r>
              <w:rPr>
                <w:rFonts w:eastAsia="Times New Roman"/>
                <w:rFonts w:ascii="Times New Roman" w:hAnsi="Times New Roman"/>
                <w:sz w:val="22"/>
              </w:rPr>
              <w:t>+6.1</w:t>
            </w:r>
          </w:p>
        </w:tc>
        <w:tc>
          <w:tcPr>
            <w:tcW w:type="dxa" w:w="3120"/>
          </w:tcPr>
          <w:p>
            <w:pPr>
              <w:jc w:val="center"/>
            </w:pPr>
            <w:r/>
            <w:r>
              <w:rPr>
                <w:rFonts w:eastAsia="Times New Roman"/>
                <w:rFonts w:ascii="Times New Roman" w:hAnsi="Times New Roman"/>
                <w:sz w:val="22"/>
              </w:rPr>
              <w:t>2,847</w:t>
            </w:r>
          </w:p>
        </w:tc>
      </w:tr>
      <w:tr>
        <w:tc>
          <w:tcPr>
            <w:tcW w:type="dxa" w:w="3120"/>
          </w:tcPr>
          <w:p>
            <w:pPr>
              <w:jc w:val="center"/>
            </w:pPr>
            <w:r/>
            <w:r>
              <w:rPr>
                <w:rFonts w:eastAsia="Times New Roman"/>
                <w:rFonts w:ascii="Times New Roman" w:hAnsi="Times New Roman"/>
                <w:sz w:val="22"/>
              </w:rPr>
              <w:t>Q2 (25-50%)</w:t>
            </w:r>
          </w:p>
        </w:tc>
        <w:tc>
          <w:tcPr>
            <w:tcW w:type="dxa" w:w="3120"/>
          </w:tcPr>
          <w:p>
            <w:pPr>
              <w:jc w:val="center"/>
            </w:pPr>
            <w:r/>
            <w:r>
              <w:rPr>
                <w:rFonts w:eastAsia="Times New Roman"/>
                <w:rFonts w:ascii="Times New Roman" w:hAnsi="Times New Roman"/>
                <w:sz w:val="22"/>
              </w:rPr>
              <w:t>+11.8</w:t>
            </w:r>
          </w:p>
        </w:tc>
        <w:tc>
          <w:tcPr>
            <w:tcW w:type="dxa" w:w="3120"/>
          </w:tcPr>
          <w:p>
            <w:pPr>
              <w:jc w:val="center"/>
            </w:pPr>
            <w:r/>
            <w:r>
              <w:rPr>
                <w:rFonts w:eastAsia="Times New Roman"/>
                <w:rFonts w:ascii="Times New Roman" w:hAnsi="Times New Roman"/>
                <w:sz w:val="22"/>
              </w:rPr>
              <w:t>2,913</w:t>
            </w:r>
          </w:p>
        </w:tc>
      </w:tr>
      <w:tr>
        <w:tc>
          <w:tcPr>
            <w:tcW w:type="dxa" w:w="3120"/>
          </w:tcPr>
          <w:p>
            <w:pPr>
              <w:jc w:val="center"/>
            </w:pPr>
            <w:r/>
            <w:r>
              <w:rPr>
                <w:rFonts w:eastAsia="Times New Roman"/>
                <w:rFonts w:ascii="Times New Roman" w:hAnsi="Times New Roman"/>
                <w:sz w:val="22"/>
              </w:rPr>
              <w:t>Q3 (50-75%)</w:t>
            </w:r>
          </w:p>
        </w:tc>
        <w:tc>
          <w:tcPr>
            <w:tcW w:type="dxa" w:w="3120"/>
          </w:tcPr>
          <w:p>
            <w:pPr>
              <w:jc w:val="center"/>
            </w:pPr>
            <w:r/>
            <w:r>
              <w:rPr>
                <w:rFonts w:eastAsia="Times New Roman"/>
                <w:rFonts w:ascii="Times New Roman" w:hAnsi="Times New Roman"/>
                <w:sz w:val="22"/>
              </w:rPr>
              <w:t>+14.7</w:t>
            </w:r>
          </w:p>
        </w:tc>
        <w:tc>
          <w:tcPr>
            <w:tcW w:type="dxa" w:w="3120"/>
          </w:tcPr>
          <w:p>
            <w:pPr>
              <w:jc w:val="center"/>
            </w:pPr>
            <w:r/>
            <w:r>
              <w:rPr>
                <w:rFonts w:eastAsia="Times New Roman"/>
                <w:rFonts w:ascii="Times New Roman" w:hAnsi="Times New Roman"/>
                <w:sz w:val="22"/>
              </w:rPr>
              <w:t>2,876</w:t>
            </w:r>
          </w:p>
        </w:tc>
      </w:tr>
      <w:tr>
        <w:tc>
          <w:tcPr>
            <w:tcW w:type="dxa" w:w="3120"/>
          </w:tcPr>
          <w:p>
            <w:pPr>
              <w:jc w:val="center"/>
            </w:pPr>
            <w:r/>
            <w:r>
              <w:rPr>
                <w:rFonts w:eastAsia="Times New Roman"/>
                <w:rFonts w:ascii="Times New Roman" w:hAnsi="Times New Roman"/>
                <w:sz w:val="22"/>
              </w:rPr>
              <w:t>Q4 (Top 25%)</w:t>
            </w:r>
          </w:p>
        </w:tc>
        <w:tc>
          <w:tcPr>
            <w:tcW w:type="dxa" w:w="3120"/>
          </w:tcPr>
          <w:p>
            <w:pPr>
              <w:jc w:val="center"/>
            </w:pPr>
            <w:r/>
            <w:r>
              <w:rPr>
                <w:rFonts w:eastAsia="Times New Roman"/>
                <w:rFonts w:ascii="Times New Roman" w:hAnsi="Times New Roman"/>
                <w:sz w:val="22"/>
              </w:rPr>
              <w:t>+9.3</w:t>
            </w:r>
          </w:p>
        </w:tc>
        <w:tc>
          <w:tcPr>
            <w:tcW w:type="dxa" w:w="3120"/>
          </w:tcPr>
          <w:p>
            <w:pPr>
              <w:jc w:val="center"/>
            </w:pPr>
            <w:r/>
            <w:r>
              <w:rPr>
                <w:rFonts w:eastAsia="Times New Roman"/>
                <w:rFonts w:ascii="Times New Roman" w:hAnsi="Times New Roman"/>
                <w:sz w:val="22"/>
              </w:rPr>
              <w:t>2,918</w:t>
            </w:r>
          </w:p>
        </w:tc>
      </w:tr>
    </w:tbl>
    <w:p/>
    <w:p>
      <w:pPr>
        <w:pStyle w:val="Heading1"/>
      </w:pPr>
      <w:r>
        <w:rPr>
          <w:rFonts w:eastAsia="Times New Roman"/>
          <w:rFonts w:ascii="Times New Roman" w:hAnsi="Times New Roman"/>
        </w:rPr>
        <w:t>4. Discussion and Conclusion</w:t>
      </w:r>
    </w:p>
    <w:p>
      <w:pPr>
        <w:pStyle w:val="Heading2"/>
      </w:pPr>
      <w:r>
        <w:rPr>
          <w:rFonts w:eastAsia="Times New Roman"/>
          <w:rFonts w:ascii="Times New Roman" w:hAnsi="Times New Roman"/>
        </w:rPr>
        <w:t>4.1 Summary of Key Findings</w:t>
      </w:r>
    </w:p>
    <w:p>
      <w:pPr>
        <w:spacing w:line="360" w:lineRule="auto" w:after="0" w:before="0"/>
        <w:ind w:firstLine="420"/>
      </w:pPr>
      <w:r>
        <w:rPr>
          <w:rFonts w:eastAsia="Times New Roman"/>
          <w:rFonts w:ascii="Times New Roman" w:hAnsi="Times New Roman"/>
          <w:b w:val="0"/>
          <w:i w:val="0"/>
          <w:sz w:val="24"/>
        </w:rPr>
        <w:t>This study set out to examine how AI-powered educational technologies are being deployed to address the rural-urban education gap in China. The findings from three provincial case studies suggest that AI has genuine potential to improve educational equity, but this potential is realized only under specific conditions.</w:t>
      </w:r>
    </w:p>
    <w:p>
      <w:pPr>
        <w:spacing w:line="360" w:lineRule="auto" w:after="0" w:before="0"/>
        <w:ind w:firstLine="420"/>
      </w:pPr>
      <w:r>
        <w:rPr>
          <w:rFonts w:eastAsia="Times New Roman"/>
          <w:rFonts w:ascii="Times New Roman" w:hAnsi="Times New Roman"/>
          <w:b w:val="0"/>
          <w:i w:val="0"/>
          <w:sz w:val="24"/>
        </w:rPr>
        <w:t>Three findings deserve particular emphasis. First, infrastructure precedes intelligence—the most sophisticated AI algorithms are useless if connectivity and hardware are unreliable. The Gansu case demonstrates that satellite internet can serve as a viable infrastructure solution for remote areas where conventional broadband deployment is economically unfeasible. Second, pedagogy matters more than technology—schools where teachers integrated AI tools into a blended instructional model achieved substantially better outcomes than schools where technology either supplemented unchanged traditional methods or replaced teacher-led instruction entirely. Third, teacher support is the linchpin—ongoing, peer-based professional development was the strongest predictor of effective AI integration, outweighing hardware specifications or software features.</w:t>
      </w:r>
    </w:p>
    <w:p>
      <w:pPr>
        <w:pStyle w:val="Heading2"/>
      </w:pPr>
      <w:r>
        <w:rPr>
          <w:rFonts w:eastAsia="Times New Roman"/>
          <w:rFonts w:ascii="Times New Roman" w:hAnsi="Times New Roman"/>
        </w:rPr>
        <w:t>4.2 Theoretical Contributions: Toward an Ecosystem Model of AI-Enabled Educational Equity</w:t>
      </w:r>
    </w:p>
    <w:p>
      <w:pPr>
        <w:spacing w:line="360" w:lineRule="auto" w:after="0" w:before="0"/>
        <w:ind w:firstLine="420"/>
      </w:pPr>
      <w:r>
        <w:rPr>
          <w:rFonts w:eastAsia="Times New Roman"/>
          <w:rFonts w:ascii="Times New Roman" w:hAnsi="Times New Roman"/>
          <w:b w:val="0"/>
          <w:i w:val="0"/>
          <w:sz w:val="24"/>
        </w:rPr>
        <w:t>Based on these findings, this study proposes an "AI + Satellite + Teacher Empowerment" (ASTE) framework for deploying educational AI in under-resourced settings. The ASTE model posits that three components must be addressed simultaneously:</w:t>
      </w:r>
    </w:p>
    <w:p>
      <w:pPr>
        <w:spacing w:line="360" w:lineRule="auto"/>
        <w:ind w:left="420"/>
      </w:pPr>
      <w:r>
        <w:rPr>
          <w:rFonts w:ascii="Times New Roman" w:hAnsi="Times New Roman"/>
          <w:b/>
          <w:sz w:val="24"/>
        </w:rPr>
        <w:t xml:space="preserve">• AI (Artificial Intelligence): </w:t>
      </w:r>
      <w:r>
        <w:rPr>
          <w:rFonts w:ascii="Times New Roman" w:hAnsi="Times New Roman"/>
          <w:sz w:val="24"/>
        </w:rPr>
        <w:t>Adaptive learning platforms with offline capability, localized content, and multilingual support;</w:t>
      </w:r>
    </w:p>
    <w:p>
      <w:pPr>
        <w:spacing w:line="360" w:lineRule="auto"/>
        <w:ind w:left="420"/>
      </w:pPr>
      <w:r>
        <w:rPr>
          <w:rFonts w:ascii="Times New Roman" w:hAnsi="Times New Roman"/>
          <w:b/>
          <w:sz w:val="24"/>
        </w:rPr>
        <w:t xml:space="preserve">• Satellite (Infrastructure): </w:t>
      </w:r>
      <w:r>
        <w:rPr>
          <w:rFonts w:ascii="Times New Roman" w:hAnsi="Times New Roman"/>
          <w:sz w:val="24"/>
        </w:rPr>
        <w:t>Reliable connectivity through a mix of satellite, broadband, and offline caching technologies tailored to local conditions;</w:t>
      </w:r>
    </w:p>
    <w:p>
      <w:pPr>
        <w:spacing w:line="360" w:lineRule="auto"/>
        <w:ind w:left="420"/>
      </w:pPr>
      <w:r>
        <w:rPr>
          <w:rFonts w:ascii="Times New Roman" w:hAnsi="Times New Roman"/>
          <w:b/>
          <w:sz w:val="24"/>
        </w:rPr>
        <w:t xml:space="preserve">• Teacher Empowerment: </w:t>
      </w:r>
      <w:r>
        <w:rPr>
          <w:rFonts w:ascii="Times New Roman" w:hAnsi="Times New Roman"/>
          <w:sz w:val="24"/>
        </w:rPr>
        <w:t>Continuous professional development through initial workshops, ongoing coaching, and peer learning communities.</w:t>
      </w:r>
    </w:p>
    <w:p>
      <w:pPr>
        <w:spacing w:line="360" w:lineRule="auto" w:after="0" w:before="0"/>
        <w:ind w:firstLine="420"/>
      </w:pPr>
      <w:r>
        <w:rPr>
          <w:rFonts w:eastAsia="Times New Roman"/>
          <w:rFonts w:ascii="Times New Roman" w:hAnsi="Times New Roman"/>
          <w:b w:val="0"/>
          <w:i w:val="0"/>
          <w:sz w:val="24"/>
        </w:rPr>
        <w:t>This framework departs from technology-centric approaches that treat AI as a standalone solution. Instead, it positions AI as one element within a broader socio-technical system where human capacity and infrastructure are equally important. The finding that middle-performing students benefit most from AI adaptive learning while the lowest-performing students benefit least underscores the irreplaceable role of skilled teachers in scaffolding learning for those who need the most support.</w:t>
      </w:r>
    </w:p>
    <w:p>
      <w:pPr>
        <w:pStyle w:val="Heading2"/>
      </w:pPr>
      <w:r>
        <w:rPr>
          <w:rFonts w:eastAsia="Times New Roman"/>
          <w:rFonts w:ascii="Times New Roman" w:hAnsi="Times New Roman"/>
        </w:rPr>
        <w:t>4.3 Practical Implications</w:t>
      </w:r>
    </w:p>
    <w:p>
      <w:pPr>
        <w:spacing w:line="360" w:lineRule="auto" w:after="0" w:before="0"/>
        <w:ind w:firstLine="420"/>
      </w:pPr>
      <w:r>
        <w:rPr>
          <w:rFonts w:eastAsia="Times New Roman"/>
          <w:rFonts w:ascii="Times New Roman" w:hAnsi="Times New Roman"/>
          <w:b w:val="0"/>
          <w:i w:val="0"/>
          <w:sz w:val="24"/>
        </w:rPr>
        <w:t>For policymakers, this research offers several actionable recommendations. First, investment in basic digital infrastructure should take priority over procurement of advanced AI systems in regions where connectivity remains unreliable. Second, teacher professional development budgets should be at least proportionate to hardware investments—a ratio of roughly 30% training to 70% equipment is suggested by the comparative outcomes across the three cases. Third, AI educational platforms should be designed with offline-first architecture, recognizing that internet access in rural areas, even with satellite support, will be intermittent for the foreseeable future.</w:t>
      </w:r>
    </w:p>
    <w:p>
      <w:pPr>
        <w:spacing w:line="360" w:lineRule="auto" w:after="0" w:before="0"/>
        <w:ind w:firstLine="420"/>
      </w:pPr>
      <w:r>
        <w:rPr>
          <w:rFonts w:eastAsia="Times New Roman"/>
          <w:rFonts w:ascii="Times New Roman" w:hAnsi="Times New Roman"/>
          <w:b w:val="0"/>
          <w:i w:val="0"/>
          <w:sz w:val="24"/>
        </w:rPr>
        <w:t>For platform developers, the findings highlight the importance of designing for low-resource environments from the start—including considerations of device durability, multilingual interfaces, low-bandwidth operation, and interfaces that are intuitive for teachers with limited prior exposure to educational technology.</w:t>
      </w:r>
    </w:p>
    <w:p>
      <w:pPr>
        <w:pStyle w:val="Heading2"/>
      </w:pPr>
      <w:r>
        <w:rPr>
          <w:rFonts w:eastAsia="Times New Roman"/>
          <w:rFonts w:ascii="Times New Roman" w:hAnsi="Times New Roman"/>
        </w:rPr>
        <w:t>4.4 China's Contribution to Global Educational Equity</w:t>
      </w:r>
    </w:p>
    <w:p>
      <w:pPr>
        <w:spacing w:line="360" w:lineRule="auto" w:after="0" w:before="0"/>
        <w:ind w:firstLine="420"/>
      </w:pPr>
      <w:r>
        <w:rPr>
          <w:rFonts w:eastAsia="Times New Roman"/>
          <w:rFonts w:ascii="Times New Roman" w:hAnsi="Times New Roman"/>
          <w:b w:val="0"/>
          <w:i w:val="0"/>
          <w:sz w:val="24"/>
        </w:rPr>
        <w:t>The Chinese approach documented in this study offers a distinctive model for addressing educational inequality through technology. Unlike market-driven edtech models prevalent in countries such as the United States, where AI educational tools are primarily developed for and marketed to well-resourced schools, China's state-directed approach explicitly targets the most disadvantaged learners. The combination of government infrastructure investment (satellite networks, rural broadband), public-private partnership in platform development, and systemic teacher training reflects a coordinated ecosystem strategy that has proven difficult to replicate in more fragmented educational governance systems.</w:t>
      </w:r>
    </w:p>
    <w:p>
      <w:pPr>
        <w:spacing w:line="360" w:lineRule="auto" w:after="0" w:before="0"/>
        <w:ind w:firstLine="420"/>
      </w:pPr>
      <w:r>
        <w:rPr>
          <w:rFonts w:eastAsia="Times New Roman"/>
          <w:rFonts w:ascii="Times New Roman" w:hAnsi="Times New Roman"/>
          <w:b w:val="0"/>
          <w:i w:val="0"/>
          <w:sz w:val="24"/>
        </w:rPr>
        <w:t>As the global community works toward Sustainable Development Goal 4—inclusive and equitable quality education for all—the Chinese experience demonstrates that AI need not be a force that widens educational inequality. With deliberate policy design and sustained investment in both technology and human capacity, AI can instead serve as a bridge across the digital divide.</w:t>
      </w:r>
    </w:p>
    <w:p>
      <w:pPr>
        <w:pStyle w:val="Heading2"/>
      </w:pPr>
      <w:r>
        <w:rPr>
          <w:rFonts w:eastAsia="Times New Roman"/>
          <w:rFonts w:ascii="Times New Roman" w:hAnsi="Times New Roman"/>
        </w:rPr>
        <w:t>4.5 Directions for Future Research</w:t>
      </w:r>
    </w:p>
    <w:p>
      <w:pPr>
        <w:spacing w:line="360" w:lineRule="auto" w:after="0" w:before="0"/>
        <w:ind w:firstLine="420"/>
      </w:pPr>
      <w:r>
        <w:rPr>
          <w:rFonts w:eastAsia="Times New Roman"/>
          <w:rFonts w:ascii="Times New Roman" w:hAnsi="Times New Roman"/>
          <w:b w:val="0"/>
          <w:i w:val="0"/>
          <w:sz w:val="24"/>
        </w:rPr>
        <w:t>This study has several limitations that suggest productive directions for future research. Longitudinal studies tracking students over 3-5 years would provide more robust evidence on whether the learning gains observed in this study are sustained. Comparative studies across different AI platforms would help identify which specific technological features drive learning improvements. Finally, cost-effectiveness analyses comparing AI-assisted instruction with alternative interventions (such as smaller class sizes or additional teaching assistants) would inform resource allocation decisions.</w:t>
      </w:r>
    </w:p>
    <w:p>
      <w:pPr>
        <w:pStyle w:val="Heading1"/>
      </w:pPr>
      <w:r>
        <w:rPr>
          <w:rFonts w:eastAsia="Times New Roman"/>
          <w:rFonts w:ascii="Times New Roman" w:hAnsi="Times New Roman"/>
        </w:rPr>
        <w:t>References</w:t>
      </w:r>
    </w:p>
    <w:p>
      <w:pPr>
        <w:spacing w:line="360" w:lineRule="auto"/>
        <w:ind w:left="720" w:hanging="720"/>
      </w:pPr>
      <w:r>
        <w:rPr>
          <w:rFonts w:ascii="Times New Roman" w:hAnsi="Times New Roman"/>
          <w:sz w:val="24"/>
        </w:rPr>
        <w:t>Braun, V., &amp; Clarke, V. (2006). Using thematic analysis in psychology. Qualitative Research in Psychology, 3(2), 77-101.</w:t>
      </w:r>
    </w:p>
    <w:p>
      <w:pPr>
        <w:spacing w:line="360" w:lineRule="auto"/>
        <w:ind w:left="720" w:hanging="720"/>
      </w:pPr>
      <w:r>
        <w:rPr>
          <w:rFonts w:ascii="Times New Roman" w:hAnsi="Times New Roman"/>
          <w:sz w:val="24"/>
        </w:rPr>
        <w:t>Holmes, W., Bialik, M., &amp; Fadel, C. (2022). Artificial intelligence in education: Promises and implications for teaching and learning. Center for Curriculum Redesign.</w:t>
      </w:r>
    </w:p>
    <w:p>
      <w:pPr>
        <w:spacing w:line="360" w:lineRule="auto"/>
        <w:ind w:left="720" w:hanging="720"/>
      </w:pPr>
      <w:r>
        <w:rPr>
          <w:rFonts w:ascii="Times New Roman" w:hAnsi="Times New Roman"/>
          <w:sz w:val="24"/>
        </w:rPr>
        <w:t>Ministry of Education of the People's Republic of China. (2020). National strategy for AI-empowered education development (2020-2025). Beijing: Ministry of Education.</w:t>
      </w:r>
    </w:p>
    <w:p>
      <w:pPr>
        <w:spacing w:line="360" w:lineRule="auto"/>
        <w:ind w:left="720" w:hanging="720"/>
      </w:pPr>
      <w:r>
        <w:rPr>
          <w:rFonts w:ascii="Times New Roman" w:hAnsi="Times New Roman"/>
          <w:sz w:val="24"/>
        </w:rPr>
        <w:t>UNESCO. (2022). ICT competency framework for teachers (Version 4). Paris: UNESCO.</w:t>
      </w:r>
    </w:p>
    <w:p>
      <w:pPr>
        <w:spacing w:line="360" w:lineRule="auto"/>
        <w:ind w:left="720" w:hanging="720"/>
      </w:pPr>
      <w:r>
        <w:rPr>
          <w:rFonts w:ascii="Times New Roman" w:hAnsi="Times New Roman"/>
          <w:sz w:val="24"/>
        </w:rPr>
        <w:t>UNESCO. (2023). Global education monitoring report 2023: Technology in education—A tool on whose terms? Paris: UNESCO.</w:t>
      </w:r>
    </w:p>
    <w:p>
      <w:pPr>
        <w:spacing w:line="360" w:lineRule="auto"/>
        <w:ind w:left="720" w:hanging="720"/>
      </w:pPr>
      <w:r>
        <w:rPr>
          <w:rFonts w:ascii="Times New Roman" w:hAnsi="Times New Roman"/>
          <w:sz w:val="24"/>
        </w:rPr>
        <w:t>Yin, R. K. (2018). Case study research and applications: Design and methods (6th ed.). SAGE Publications.</w:t>
      </w:r>
    </w:p>
    <w:p>
      <w:pPr>
        <w:spacing w:line="360" w:lineRule="auto"/>
        <w:ind w:left="720" w:hanging="720"/>
      </w:pPr>
      <w:r>
        <w:rPr>
          <w:rFonts w:ascii="Times New Roman" w:hAnsi="Times New Roman"/>
          <w:sz w:val="24"/>
        </w:rPr>
        <w:t>Zhang, L., &amp; Wang, H. (2023). Satellite internet for rural education: A feasibility study in Northwest China. Journal of Educational Technology &amp; Society, 26(4), 112-126.</w:t>
      </w:r>
    </w:p>
    <w:p>
      <w:pPr>
        <w:spacing w:line="360" w:lineRule="auto"/>
        <w:ind w:left="720" w:hanging="720"/>
      </w:pPr>
      <w:r>
        <w:rPr>
          <w:rFonts w:ascii="Times New Roman" w:hAnsi="Times New Roman"/>
          <w:sz w:val="24"/>
        </w:rPr>
        <w:t>Zhao, Y., &amp; Liu, J. (2024). Adaptive learning in under-resourced schools: Evidence from China's smart classroom initiative. British Journal of Educational Technology, 55(2), 389-407.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eastAsia="Times New Roman"/>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