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Consolidated Study Notes on a Beam-Ionized Plasma Column</w:t>
        <w:br/>
        <w:t>for Space-Charge Mitigation in Cyclotron Axial Injection</w:t>
      </w:r>
    </w:p>
    <w:p>
      <w:pPr>
        <w:jc w:val="center"/>
      </w:pPr>
      <w:r>
        <w:rPr>
          <w:i/>
          <w:color w:val="5A5A5A"/>
          <w:sz w:val="22"/>
        </w:rPr>
        <w:t>Prepared from uploaded plasma-column, cyclotron-injection, and literature-comparison source notes</w:t>
      </w:r>
    </w:p>
    <w:p/>
    <w:p>
      <w:pPr>
        <w:pStyle w:val="NoteBox"/>
      </w:pPr>
      <w:r>
        <w:rPr>
          <w:b/>
        </w:rPr>
        <w:t xml:space="preserve">Scope. </w:t>
      </w:r>
      <w:r>
        <w:t>This document consolidates the supplied material into a single technical summary for studying a compact, beam-ionized plasma column installed in the axial injection line of a compact proton cyclotron. The emphasis is on the physical basis, scaling laws, expected performance, engineering parameters, relation to prior work, risks, and a practical validation path. The concept should be described primarily as a space-charge-compensation or self-neutralizing transport module, not as a high-current discharge plasma lens.</w:t>
      </w:r>
    </w:p>
    <w:tbl>
      <w:tblPr>
        <w:tblStyle w:val="TableGrid"/>
        <w:tblW w:type="auto" w:w="0"/>
        <w:jc w:val="center"/>
        <w:tblLook w:firstColumn="1" w:firstRow="1" w:lastColumn="0" w:lastRow="0" w:noHBand="0" w:noVBand="1" w:val="04A0"/>
      </w:tblPr>
      <w:tblGrid>
        <w:gridCol w:w="3312"/>
        <w:gridCol w:w="3312"/>
        <w:gridCol w:w="3312"/>
      </w:tblGrid>
      <w:tr>
        <w:tc>
          <w:tcPr>
            <w:tcW w:type="dxa" w:w="864"/>
            <w:shd w:fill="D9EAF7"/>
            <w:vAlign w:val="center"/>
          </w:tcPr>
          <w:p>
            <w:pPr>
              <w:spacing w:after="0"/>
            </w:pPr>
            <w:r/>
            <w:r>
              <w:rPr>
                <w:rFonts w:ascii="Aptos" w:hAnsi="Aptos" w:eastAsia="Aptos"/>
                <w:b/>
                <w:sz w:val="18"/>
              </w:rPr>
              <w:t>ID</w:t>
            </w:r>
          </w:p>
        </w:tc>
        <w:tc>
          <w:tcPr>
            <w:tcW w:type="dxa" w:w="3168"/>
            <w:shd w:fill="D9EAF7"/>
            <w:vAlign w:val="center"/>
          </w:tcPr>
          <w:p>
            <w:pPr>
              <w:spacing w:after="0"/>
            </w:pPr>
            <w:r/>
            <w:r>
              <w:rPr>
                <w:rFonts w:ascii="Aptos" w:hAnsi="Aptos" w:eastAsia="Aptos"/>
                <w:b/>
                <w:sz w:val="18"/>
              </w:rPr>
              <w:t>Uploaded source</w:t>
            </w:r>
          </w:p>
        </w:tc>
        <w:tc>
          <w:tcPr>
            <w:tcW w:type="dxa" w:w="6480"/>
            <w:shd w:fill="D9EAF7"/>
            <w:vAlign w:val="center"/>
          </w:tcPr>
          <w:p>
            <w:pPr>
              <w:spacing w:after="0"/>
            </w:pPr>
            <w:r/>
            <w:r>
              <w:rPr>
                <w:rFonts w:ascii="Aptos" w:hAnsi="Aptos" w:eastAsia="Aptos"/>
                <w:b/>
                <w:sz w:val="18"/>
              </w:rPr>
              <w:t>Main contribution to this summary</w:t>
            </w:r>
          </w:p>
        </w:tc>
      </w:tr>
      <w:tr>
        <w:tc>
          <w:tcPr>
            <w:tcW w:type="dxa" w:w="864"/>
            <w:vAlign w:val="top"/>
          </w:tcPr>
          <w:p>
            <w:pPr>
              <w:spacing w:after="0"/>
            </w:pPr>
            <w:r/>
            <w:r>
              <w:rPr>
                <w:rFonts w:ascii="Aptos" w:hAnsi="Aptos" w:eastAsia="Aptos"/>
                <w:b w:val="0"/>
                <w:sz w:val="18"/>
              </w:rPr>
              <w:t>S1</w:t>
            </w:r>
          </w:p>
        </w:tc>
        <w:tc>
          <w:tcPr>
            <w:tcW w:type="dxa" w:w="3168"/>
            <w:vAlign w:val="top"/>
          </w:tcPr>
          <w:p>
            <w:pPr>
              <w:spacing w:after="0"/>
            </w:pPr>
            <w:r/>
            <w:r>
              <w:rPr>
                <w:rFonts w:ascii="Aptos" w:hAnsi="Aptos" w:eastAsia="Aptos"/>
                <w:b w:val="0"/>
                <w:sz w:val="18"/>
              </w:rPr>
              <w:t>cyclotron_research_notes.pdf</w:t>
            </w:r>
          </w:p>
        </w:tc>
        <w:tc>
          <w:tcPr>
            <w:tcW w:type="dxa" w:w="6480"/>
            <w:vAlign w:val="top"/>
          </w:tcPr>
          <w:p>
            <w:pPr>
              <w:spacing w:after="0"/>
            </w:pPr>
            <w:r/>
            <w:r>
              <w:rPr>
                <w:rFonts w:ascii="Aptos" w:hAnsi="Aptos" w:eastAsia="Aptos"/>
                <w:b w:val="0"/>
                <w:sz w:val="18"/>
              </w:rPr>
              <w:t>Space-charge limitations in compact cyclotrons; transverse/longitudinal scaling; inflector transmission; estimated neutralization-driven transmission gain.</w:t>
            </w:r>
          </w:p>
        </w:tc>
      </w:tr>
      <w:tr>
        <w:tc>
          <w:tcPr>
            <w:tcW w:type="dxa" w:w="864"/>
            <w:vAlign w:val="top"/>
          </w:tcPr>
          <w:p>
            <w:pPr>
              <w:spacing w:after="0"/>
            </w:pPr>
            <w:r/>
            <w:r>
              <w:rPr>
                <w:rFonts w:ascii="Aptos" w:hAnsi="Aptos" w:eastAsia="Aptos"/>
                <w:b w:val="0"/>
                <w:sz w:val="18"/>
              </w:rPr>
              <w:t>S2</w:t>
            </w:r>
          </w:p>
        </w:tc>
        <w:tc>
          <w:tcPr>
            <w:tcW w:type="dxa" w:w="3168"/>
            <w:vAlign w:val="top"/>
          </w:tcPr>
          <w:p>
            <w:pPr>
              <w:spacing w:after="0"/>
            </w:pPr>
            <w:r/>
            <w:r>
              <w:rPr>
                <w:rFonts w:ascii="Aptos" w:hAnsi="Aptos" w:eastAsia="Aptos"/>
                <w:b w:val="0"/>
                <w:sz w:val="18"/>
              </w:rPr>
              <w:t>plasma_column_for_cyclotron.pdf</w:t>
            </w:r>
          </w:p>
        </w:tc>
        <w:tc>
          <w:tcPr>
            <w:tcW w:type="dxa" w:w="6480"/>
            <w:vAlign w:val="top"/>
          </w:tcPr>
          <w:p>
            <w:pPr>
              <w:spacing w:after="0"/>
            </w:pPr>
            <w:r/>
            <w:r>
              <w:rPr>
                <w:rFonts w:ascii="Aptos" w:hAnsi="Aptos" w:eastAsia="Aptos"/>
                <w:b w:val="0"/>
                <w:sz w:val="18"/>
              </w:rPr>
              <w:t>Beam-ionized plasma-column physics; ionization rates; H2/Kr neutralization times; electron magnetization; bias estimates; comparison with SCC, electron-column, and Gabor-lens literature.</w:t>
            </w:r>
          </w:p>
        </w:tc>
      </w:tr>
      <w:tr>
        <w:tc>
          <w:tcPr>
            <w:tcW w:type="dxa" w:w="864"/>
            <w:vAlign w:val="top"/>
          </w:tcPr>
          <w:p>
            <w:pPr>
              <w:spacing w:after="0"/>
            </w:pPr>
            <w:r/>
            <w:r>
              <w:rPr>
                <w:rFonts w:ascii="Aptos" w:hAnsi="Aptos" w:eastAsia="Aptos"/>
                <w:b w:val="0"/>
                <w:sz w:val="18"/>
              </w:rPr>
              <w:t>S3</w:t>
            </w:r>
          </w:p>
        </w:tc>
        <w:tc>
          <w:tcPr>
            <w:tcW w:type="dxa" w:w="3168"/>
            <w:vAlign w:val="top"/>
          </w:tcPr>
          <w:p>
            <w:pPr>
              <w:spacing w:after="0"/>
            </w:pPr>
            <w:r/>
            <w:r>
              <w:rPr>
                <w:rFonts w:ascii="Aptos" w:hAnsi="Aptos" w:eastAsia="Aptos"/>
                <w:b w:val="0"/>
                <w:sz w:val="18"/>
              </w:rPr>
              <w:t>Plasma Column Module -- Axial Injection.pdf</w:t>
            </w:r>
          </w:p>
        </w:tc>
        <w:tc>
          <w:tcPr>
            <w:tcW w:type="dxa" w:w="6480"/>
            <w:vAlign w:val="top"/>
          </w:tcPr>
          <w:p>
            <w:pPr>
              <w:spacing w:after="0"/>
            </w:pPr>
            <w:r/>
            <w:r>
              <w:rPr>
                <w:rFonts w:ascii="Aptos" w:hAnsi="Aptos" w:eastAsia="Aptos"/>
                <w:b w:val="0"/>
                <w:sz w:val="18"/>
              </w:rPr>
              <w:t>Hardware concept and operating envelope: beam, gas, pressure, solenoid, vacuum, diagnostics, interlocks, Kr fast-start operation.</w:t>
            </w:r>
          </w:p>
        </w:tc>
      </w:tr>
      <w:tr>
        <w:tc>
          <w:tcPr>
            <w:tcW w:type="dxa" w:w="864"/>
            <w:vAlign w:val="top"/>
          </w:tcPr>
          <w:p>
            <w:pPr>
              <w:spacing w:after="0"/>
            </w:pPr>
            <w:r/>
            <w:r>
              <w:rPr>
                <w:rFonts w:ascii="Aptos" w:hAnsi="Aptos" w:eastAsia="Aptos"/>
                <w:b w:val="0"/>
                <w:sz w:val="18"/>
              </w:rPr>
              <w:t>S4</w:t>
            </w:r>
          </w:p>
        </w:tc>
        <w:tc>
          <w:tcPr>
            <w:tcW w:type="dxa" w:w="3168"/>
            <w:vAlign w:val="top"/>
          </w:tcPr>
          <w:p>
            <w:pPr>
              <w:spacing w:after="0"/>
            </w:pPr>
            <w:r/>
            <w:r>
              <w:rPr>
                <w:rFonts w:ascii="Aptos" w:hAnsi="Aptos" w:eastAsia="Aptos"/>
                <w:b w:val="0"/>
                <w:sz w:val="18"/>
              </w:rPr>
              <w:t>Plasma Column Review.pdf</w:t>
            </w:r>
          </w:p>
        </w:tc>
        <w:tc>
          <w:tcPr>
            <w:tcW w:type="dxa" w:w="6480"/>
            <w:vAlign w:val="top"/>
          </w:tcPr>
          <w:p>
            <w:pPr>
              <w:spacing w:after="0"/>
            </w:pPr>
            <w:r/>
            <w:r>
              <w:rPr>
                <w:rFonts w:ascii="Aptos" w:hAnsi="Aptos" w:eastAsia="Aptos"/>
                <w:b w:val="0"/>
                <w:sz w:val="18"/>
              </w:rPr>
              <w:t>Concise comparison among plasma/Gabor lenses, LEBT SCC, neutralized drifts, and the proposed cyclotron plasma column.</w:t>
            </w:r>
          </w:p>
        </w:tc>
      </w:tr>
      <w:tr>
        <w:tc>
          <w:tcPr>
            <w:tcW w:type="dxa" w:w="864"/>
            <w:vAlign w:val="top"/>
          </w:tcPr>
          <w:p>
            <w:pPr>
              <w:spacing w:after="0"/>
            </w:pPr>
            <w:r/>
            <w:r>
              <w:rPr>
                <w:rFonts w:ascii="Aptos" w:hAnsi="Aptos" w:eastAsia="Aptos"/>
                <w:b w:val="0"/>
                <w:sz w:val="18"/>
              </w:rPr>
              <w:t>S5</w:t>
            </w:r>
          </w:p>
        </w:tc>
        <w:tc>
          <w:tcPr>
            <w:tcW w:type="dxa" w:w="3168"/>
            <w:vAlign w:val="top"/>
          </w:tcPr>
          <w:p>
            <w:pPr>
              <w:spacing w:after="0"/>
            </w:pPr>
            <w:r/>
            <w:r>
              <w:rPr>
                <w:rFonts w:ascii="Aptos" w:hAnsi="Aptos" w:eastAsia="Aptos"/>
                <w:b w:val="0"/>
                <w:sz w:val="18"/>
              </w:rPr>
              <w:t>references.pdf</w:t>
            </w:r>
          </w:p>
        </w:tc>
        <w:tc>
          <w:tcPr>
            <w:tcW w:type="dxa" w:w="6480"/>
            <w:vAlign w:val="top"/>
          </w:tcPr>
          <w:p>
            <w:pPr>
              <w:spacing w:after="0"/>
            </w:pPr>
            <w:r/>
            <w:r>
              <w:rPr>
                <w:rFonts w:ascii="Aptos" w:hAnsi="Aptos" w:eastAsia="Aptos"/>
                <w:b w:val="0"/>
                <w:sz w:val="18"/>
              </w:rPr>
              <w:t>Reference map: SCC overview, Linac4 and HB2016 studies, PXIE/IOTA electron columns, Gabor lenses, NDCX, and cyclotron axial-line context.</w:t>
            </w:r>
          </w:p>
        </w:tc>
      </w:tr>
    </w:tbl>
    <w:p/>
    <w:p>
      <w:pPr>
        <w:pStyle w:val="CaptionCustom"/>
      </w:pPr>
      <w:r>
        <w:t>Note: The source PDFs are treated as internal study notes rather than externally verified bibliographic sources. Quantitative numbers should be validated against original papers and final machine-specific simulations before publication.</w:t>
      </w:r>
    </w:p>
    <w:p>
      <w:pPr>
        <w:pStyle w:val="Heading1"/>
      </w:pPr>
      <w:r>
        <w:t>1. Executive Summary</w:t>
      </w:r>
    </w:p>
    <w:p>
      <w:r>
        <w:t>The proposed device is a short plasma-column module installed immediately upstream of the spiral or electrostatic inflector in a compact cyclotron axial injection line. A low-energy, high-current proton beam ionizes residual hydrogen or intentionally seeded krypton inside a short solenoidal field region. The resulting electrons are magnetized and remain near the beam axis, partially neutralizing the beam space charge before the beam enters the inflector.</w:t>
      </w:r>
    </w:p>
    <w:p>
      <w:r>
        <w:t>The key beam-dynamics problem is that at injection energies of order 20-30 keV, beta and gamma are small, so generalized perveance scales very unfavorably as I/(beta^3 gamma^3). The resulting transverse blow-up, envelope mismatch, bunch lengthening, tune depression, and scraping inside the spiral inflector strongly limit capture and transmission. In compact high-current cyclotrons, the inflector is especially restrictive because it combines small geometric acceptance, tight electrode gaps, nonlinear three-dimensional fields, and little tolerance for large beam divergence.</w:t>
      </w:r>
    </w:p>
    <w:p>
      <w:r>
        <w:t>The plasma-column concept does not rely on a large discharge current. It should therefore not be framed as a conventional high-gradient plasma lens. Its main action is space-charge compensation: if the neutralization fraction is f, the effective space-charge term scales approximately as K_eff = (1 - f) K. For f = 0.90, the effective perveance is reduced to 10% of its unneutralized value; for f = 0.95, it is reduced to 5%. This can shrink the beam envelope and divergence at the inflector entrance and can substantially increase stand-alone inflector transmission if the downstream optics are re-matched.</w:t>
      </w:r>
    </w:p>
    <w:p>
      <w:r>
        <w:t>For a representative 30 keV proton beam at a local cell pressure of 1e-5 torr, the simple rate model gives a neutralization time constant of about 0.064 ms for H2 and about 0.013 ms for Kr, assuming sigma_H2 approximately 2e-20 m^2 and sigma_Kr approximately 1e-19 m^2. Kr therefore provides a fast-start option for pulsed or ramped beams, although H2 remains the gentler steady-state gas because of lower scattering and easier vacuum compatibility.</w:t>
      </w:r>
    </w:p>
    <w:p>
      <w:r>
        <w:t>A practical operating point emerging from the sources is: 30 keV, 1-10 mA protons; beam radius 1-5 mm; active column length 0.1-0.3 m, nominally 0.2 m; solenoidal field 0.1-0.2 T; local pressure near 1e-5 torr; H2 baseline with optional few x 1e-6 torr Kr seeding; strong differential pumping to keep the cyclotron tank at or below about 1e-7 torr; and low-voltage end electrodes to control electron end loss and plasma potential.</w:t>
      </w:r>
    </w:p>
    <w:p>
      <w:r>
        <w:t>The main technical caution in the supplied notes is the sign convention for the end electrodes. One source lists +5 to +30 V, whereas another source correctly states that, under the usual convention where the beam pipe/plasma reference is near ground and electrons must be reflected axially, end electrodes should be biased negative relative to the plasma/pipe. This must be resolved unambiguously in the hardware specification. The recommended language is: use end-electrode potentials that create an axial barrier for electrons and a drain path for positive ions; in the simplest grounded-beam-pipe convention, this corresponds to negative endcaps, roughly -10 to -60 V depending on beam current and plasma conditions.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pPr>
              <w:spacing w:after="0"/>
            </w:pPr>
            <w:r/>
            <w:r>
              <w:rPr>
                <w:rFonts w:ascii="Aptos" w:hAnsi="Aptos" w:eastAsia="Aptos"/>
                <w:b/>
                <w:sz w:val="18"/>
              </w:rPr>
              <w:t>Quantity</w:t>
            </w:r>
          </w:p>
        </w:tc>
        <w:tc>
          <w:tcPr>
            <w:tcW w:type="dxa" w:w="3168"/>
            <w:shd w:fill="D9EAF7"/>
            <w:vAlign w:val="center"/>
          </w:tcPr>
          <w:p>
            <w:pPr>
              <w:spacing w:after="0"/>
            </w:pPr>
            <w:r/>
            <w:r>
              <w:rPr>
                <w:rFonts w:ascii="Aptos" w:hAnsi="Aptos" w:eastAsia="Aptos"/>
                <w:b/>
                <w:sz w:val="18"/>
              </w:rPr>
              <w:t>Representative value</w:t>
            </w:r>
          </w:p>
        </w:tc>
        <w:tc>
          <w:tcPr>
            <w:tcW w:type="dxa" w:w="5184"/>
            <w:shd w:fill="D9EAF7"/>
            <w:vAlign w:val="center"/>
          </w:tcPr>
          <w:p>
            <w:pPr>
              <w:spacing w:after="0"/>
            </w:pPr>
            <w:r/>
            <w:r>
              <w:rPr>
                <w:rFonts w:ascii="Aptos" w:hAnsi="Aptos" w:eastAsia="Aptos"/>
                <w:b/>
                <w:sz w:val="18"/>
              </w:rPr>
              <w:t>Interpretation</w:t>
            </w:r>
          </w:p>
        </w:tc>
      </w:tr>
      <w:tr>
        <w:tc>
          <w:tcPr>
            <w:tcW w:type="dxa" w:w="2160"/>
            <w:vAlign w:val="top"/>
          </w:tcPr>
          <w:p>
            <w:pPr>
              <w:spacing w:after="0"/>
            </w:pPr>
            <w:r/>
            <w:r>
              <w:rPr>
                <w:rFonts w:ascii="Aptos" w:hAnsi="Aptos" w:eastAsia="Aptos"/>
                <w:b w:val="0"/>
                <w:sz w:val="18"/>
              </w:rPr>
              <w:t>Beam</w:t>
            </w:r>
          </w:p>
        </w:tc>
        <w:tc>
          <w:tcPr>
            <w:tcW w:type="dxa" w:w="3168"/>
            <w:vAlign w:val="top"/>
          </w:tcPr>
          <w:p>
            <w:pPr>
              <w:spacing w:after="0"/>
            </w:pPr>
            <w:r/>
            <w:r>
              <w:rPr>
                <w:rFonts w:ascii="Aptos" w:hAnsi="Aptos" w:eastAsia="Aptos"/>
                <w:b w:val="0"/>
                <w:sz w:val="18"/>
              </w:rPr>
              <w:t>p+, 30 keV, 1-10 mA</w:t>
            </w:r>
          </w:p>
        </w:tc>
        <w:tc>
          <w:tcPr>
            <w:tcW w:type="dxa" w:w="5184"/>
            <w:vAlign w:val="top"/>
          </w:tcPr>
          <w:p>
            <w:pPr>
              <w:spacing w:after="0"/>
            </w:pPr>
            <w:r/>
            <w:r>
              <w:rPr>
                <w:rFonts w:ascii="Aptos" w:hAnsi="Aptos" w:eastAsia="Aptos"/>
                <w:b w:val="0"/>
                <w:sz w:val="18"/>
              </w:rPr>
              <w:t>High-current, low-beta regime; severe space charge.</w:t>
            </w:r>
          </w:p>
        </w:tc>
      </w:tr>
      <w:tr>
        <w:tc>
          <w:tcPr>
            <w:tcW w:type="dxa" w:w="2160"/>
            <w:vAlign w:val="top"/>
          </w:tcPr>
          <w:p>
            <w:pPr>
              <w:spacing w:after="0"/>
            </w:pPr>
            <w:r/>
            <w:r>
              <w:rPr>
                <w:rFonts w:ascii="Aptos" w:hAnsi="Aptos" w:eastAsia="Aptos"/>
                <w:b w:val="0"/>
                <w:sz w:val="18"/>
              </w:rPr>
              <w:t>Gas</w:t>
            </w:r>
          </w:p>
        </w:tc>
        <w:tc>
          <w:tcPr>
            <w:tcW w:type="dxa" w:w="3168"/>
            <w:vAlign w:val="top"/>
          </w:tcPr>
          <w:p>
            <w:pPr>
              <w:spacing w:after="0"/>
            </w:pPr>
            <w:r/>
            <w:r>
              <w:rPr>
                <w:rFonts w:ascii="Aptos" w:hAnsi="Aptos" w:eastAsia="Aptos"/>
                <w:b w:val="0"/>
                <w:sz w:val="18"/>
              </w:rPr>
              <w:t>H2 baseline; Kr optional</w:t>
            </w:r>
          </w:p>
        </w:tc>
        <w:tc>
          <w:tcPr>
            <w:tcW w:type="dxa" w:w="5184"/>
            <w:vAlign w:val="top"/>
          </w:tcPr>
          <w:p>
            <w:pPr>
              <w:spacing w:after="0"/>
            </w:pPr>
            <w:r/>
            <w:r>
              <w:rPr>
                <w:rFonts w:ascii="Aptos" w:hAnsi="Aptos" w:eastAsia="Aptos"/>
                <w:b w:val="0"/>
                <w:sz w:val="18"/>
              </w:rPr>
              <w:t>H2 minimizes scattering; Kr accelerates ionization and turn-on.</w:t>
            </w:r>
          </w:p>
        </w:tc>
      </w:tr>
      <w:tr>
        <w:tc>
          <w:tcPr>
            <w:tcW w:type="dxa" w:w="2160"/>
            <w:vAlign w:val="top"/>
          </w:tcPr>
          <w:p>
            <w:pPr>
              <w:spacing w:after="0"/>
            </w:pPr>
            <w:r/>
            <w:r>
              <w:rPr>
                <w:rFonts w:ascii="Aptos" w:hAnsi="Aptos" w:eastAsia="Aptos"/>
                <w:b w:val="0"/>
                <w:sz w:val="18"/>
              </w:rPr>
              <w:t>Pressure</w:t>
            </w:r>
          </w:p>
        </w:tc>
        <w:tc>
          <w:tcPr>
            <w:tcW w:type="dxa" w:w="3168"/>
            <w:vAlign w:val="top"/>
          </w:tcPr>
          <w:p>
            <w:pPr>
              <w:spacing w:after="0"/>
            </w:pPr>
            <w:r/>
            <w:r>
              <w:rPr>
                <w:rFonts w:ascii="Aptos" w:hAnsi="Aptos" w:eastAsia="Aptos"/>
                <w:b w:val="0"/>
                <w:sz w:val="18"/>
              </w:rPr>
              <w:t>1e-5 torr local cell</w:t>
            </w:r>
          </w:p>
        </w:tc>
        <w:tc>
          <w:tcPr>
            <w:tcW w:type="dxa" w:w="5184"/>
            <w:vAlign w:val="top"/>
          </w:tcPr>
          <w:p>
            <w:pPr>
              <w:spacing w:after="0"/>
            </w:pPr>
            <w:r/>
            <w:r>
              <w:rPr>
                <w:rFonts w:ascii="Aptos" w:hAnsi="Aptos" w:eastAsia="Aptos"/>
                <w:b w:val="0"/>
                <w:sz w:val="18"/>
              </w:rPr>
              <w:t>High enough for sub-0.1 ms neutralization; requires differential pumping.</w:t>
            </w:r>
          </w:p>
        </w:tc>
      </w:tr>
      <w:tr>
        <w:tc>
          <w:tcPr>
            <w:tcW w:type="dxa" w:w="2160"/>
            <w:vAlign w:val="top"/>
          </w:tcPr>
          <w:p>
            <w:pPr>
              <w:spacing w:after="0"/>
            </w:pPr>
            <w:r/>
            <w:r>
              <w:rPr>
                <w:rFonts w:ascii="Aptos" w:hAnsi="Aptos" w:eastAsia="Aptos"/>
                <w:b w:val="0"/>
                <w:sz w:val="18"/>
              </w:rPr>
              <w:t>Solenoid</w:t>
            </w:r>
          </w:p>
        </w:tc>
        <w:tc>
          <w:tcPr>
            <w:tcW w:type="dxa" w:w="3168"/>
            <w:vAlign w:val="top"/>
          </w:tcPr>
          <w:p>
            <w:pPr>
              <w:spacing w:after="0"/>
            </w:pPr>
            <w:r/>
            <w:r>
              <w:rPr>
                <w:rFonts w:ascii="Aptos" w:hAnsi="Aptos" w:eastAsia="Aptos"/>
                <w:b w:val="0"/>
                <w:sz w:val="18"/>
              </w:rPr>
              <w:t>0.1-0.2 T over 0.1-0.3 m</w:t>
            </w:r>
          </w:p>
        </w:tc>
        <w:tc>
          <w:tcPr>
            <w:tcW w:type="dxa" w:w="5184"/>
            <w:vAlign w:val="top"/>
          </w:tcPr>
          <w:p>
            <w:pPr>
              <w:spacing w:after="0"/>
            </w:pPr>
            <w:r/>
            <w:r>
              <w:rPr>
                <w:rFonts w:ascii="Aptos" w:hAnsi="Aptos" w:eastAsia="Aptos"/>
                <w:b w:val="0"/>
                <w:sz w:val="18"/>
              </w:rPr>
              <w:t>Strongly magnetizes electrons; provides beam matching and confinement.</w:t>
            </w:r>
          </w:p>
        </w:tc>
      </w:tr>
      <w:tr>
        <w:tc>
          <w:tcPr>
            <w:tcW w:type="dxa" w:w="2160"/>
            <w:vAlign w:val="top"/>
          </w:tcPr>
          <w:p>
            <w:pPr>
              <w:spacing w:after="0"/>
            </w:pPr>
            <w:r/>
            <w:r>
              <w:rPr>
                <w:rFonts w:ascii="Aptos" w:hAnsi="Aptos" w:eastAsia="Aptos"/>
                <w:b w:val="0"/>
                <w:sz w:val="18"/>
              </w:rPr>
              <w:t>Neutralization time</w:t>
            </w:r>
          </w:p>
        </w:tc>
        <w:tc>
          <w:tcPr>
            <w:tcW w:type="dxa" w:w="3168"/>
            <w:vAlign w:val="top"/>
          </w:tcPr>
          <w:p>
            <w:pPr>
              <w:spacing w:after="0"/>
            </w:pPr>
            <w:r/>
            <w:r>
              <w:rPr>
                <w:rFonts w:ascii="Aptos" w:hAnsi="Aptos" w:eastAsia="Aptos"/>
                <w:b w:val="0"/>
                <w:sz w:val="18"/>
              </w:rPr>
              <w:t>H2: ~0.064 ms; Kr: ~0.013 ms at 1e-5 torr</w:t>
            </w:r>
          </w:p>
        </w:tc>
        <w:tc>
          <w:tcPr>
            <w:tcW w:type="dxa" w:w="5184"/>
            <w:vAlign w:val="top"/>
          </w:tcPr>
          <w:p>
            <w:pPr>
              <w:spacing w:after="0"/>
            </w:pPr>
            <w:r/>
            <w:r>
              <w:rPr>
                <w:rFonts w:ascii="Aptos" w:hAnsi="Aptos" w:eastAsia="Aptos"/>
                <w:b w:val="0"/>
                <w:sz w:val="18"/>
              </w:rPr>
              <w:t>Kr is ~5 times faster in the design estimate.</w:t>
            </w:r>
          </w:p>
        </w:tc>
      </w:tr>
      <w:tr>
        <w:tc>
          <w:tcPr>
            <w:tcW w:type="dxa" w:w="2160"/>
            <w:vAlign w:val="top"/>
          </w:tcPr>
          <w:p>
            <w:pPr>
              <w:spacing w:after="0"/>
            </w:pPr>
            <w:r/>
            <w:r>
              <w:rPr>
                <w:rFonts w:ascii="Aptos" w:hAnsi="Aptos" w:eastAsia="Aptos"/>
                <w:b w:val="0"/>
                <w:sz w:val="18"/>
              </w:rPr>
              <w:t>Effective perveance</w:t>
            </w:r>
          </w:p>
        </w:tc>
        <w:tc>
          <w:tcPr>
            <w:tcW w:type="dxa" w:w="3168"/>
            <w:vAlign w:val="top"/>
          </w:tcPr>
          <w:p>
            <w:pPr>
              <w:spacing w:after="0"/>
            </w:pPr>
            <w:r/>
            <w:r>
              <w:rPr>
                <w:rFonts w:ascii="Aptos" w:hAnsi="Aptos" w:eastAsia="Aptos"/>
                <w:b w:val="0"/>
                <w:sz w:val="18"/>
              </w:rPr>
              <w:t>K_eff = (1 - f) K</w:t>
            </w:r>
          </w:p>
        </w:tc>
        <w:tc>
          <w:tcPr>
            <w:tcW w:type="dxa" w:w="5184"/>
            <w:vAlign w:val="top"/>
          </w:tcPr>
          <w:p>
            <w:pPr>
              <w:spacing w:after="0"/>
            </w:pPr>
            <w:r/>
            <w:r>
              <w:rPr>
                <w:rFonts w:ascii="Aptos" w:hAnsi="Aptos" w:eastAsia="Aptos"/>
                <w:b w:val="0"/>
                <w:sz w:val="18"/>
              </w:rPr>
              <w:t>Main benefit is suppression of beam self-fields before the inflector.</w:t>
            </w:r>
          </w:p>
        </w:tc>
      </w:tr>
      <w:tr>
        <w:tc>
          <w:tcPr>
            <w:tcW w:type="dxa" w:w="2160"/>
            <w:vAlign w:val="top"/>
          </w:tcPr>
          <w:p>
            <w:pPr>
              <w:spacing w:after="0"/>
            </w:pPr>
            <w:r/>
            <w:r>
              <w:rPr>
                <w:rFonts w:ascii="Aptos" w:hAnsi="Aptos" w:eastAsia="Aptos"/>
                <w:b w:val="0"/>
                <w:sz w:val="18"/>
              </w:rPr>
              <w:t>Inflector effect</w:t>
            </w:r>
          </w:p>
        </w:tc>
        <w:tc>
          <w:tcPr>
            <w:tcW w:type="dxa" w:w="3168"/>
            <w:vAlign w:val="top"/>
          </w:tcPr>
          <w:p>
            <w:pPr>
              <w:spacing w:after="0"/>
            </w:pPr>
            <w:r/>
            <w:r>
              <w:rPr>
                <w:rFonts w:ascii="Aptos" w:hAnsi="Aptos" w:eastAsia="Aptos"/>
                <w:b w:val="0"/>
                <w:sz w:val="18"/>
              </w:rPr>
              <w:t>Potential 2x to 4.5x gain in stand-alone transmission</w:t>
            </w:r>
          </w:p>
        </w:tc>
        <w:tc>
          <w:tcPr>
            <w:tcW w:type="dxa" w:w="5184"/>
            <w:vAlign w:val="top"/>
          </w:tcPr>
          <w:p>
            <w:pPr>
              <w:spacing w:after="0"/>
            </w:pPr>
            <w:r/>
            <w:r>
              <w:rPr>
                <w:rFonts w:ascii="Aptos" w:hAnsi="Aptos" w:eastAsia="Aptos"/>
                <w:b w:val="0"/>
                <w:sz w:val="18"/>
              </w:rPr>
              <w:t>Requires matching and is limited by hard aperture and RF/capture constraints.</w:t>
            </w:r>
          </w:p>
        </w:tc>
      </w:tr>
    </w:tbl>
    <w:p/>
    <w:p>
      <w:pPr>
        <w:pStyle w:val="Heading1"/>
      </w:pPr>
      <w:r>
        <w:t>2. Motivation: Why the Axial Injection Line Is Space-Charge Limited</w:t>
      </w:r>
    </w:p>
    <w:p>
      <w:r>
        <w:t>At tens of keV, proton or H- beams are deeply nonrelativistic. The beam velocity is small, the magnetic self-field cancellation is weak, and the generalized perveance is large. This is the fundamental reason why compact cyclotron injection is often limited by transverse blow-up, phase spread, and capture loss before the beam reaches stable acceleration.</w:t>
      </w:r>
    </w:p>
    <w:p>
      <w:pPr>
        <w:pStyle w:val="FormulaBlock"/>
      </w:pPr>
      <w:r>
        <w:t>K = q I_peak / (2 pi epsilon_0 m gamma^3 beta^3 c^3)</w:t>
      </w:r>
    </w:p>
    <w:p>
      <w:r>
        <w:t>The supplied cyclotron notes emphasize three coupled limitations: transverse envelope blow-up, longitudinal bunch lengthening, and extraction/capture-related losses. In compact H- machines, extraction also includes foil heating and stripping-loss constraints, but the proposed plasma-column module is most directly relevant to the low-energy axial injection part of the problem.</w:t>
      </w:r>
    </w:p>
    <w:p>
      <w:pPr>
        <w:pStyle w:val="Heading2"/>
      </w:pPr>
      <w:r>
        <w:t>2.1 Transverse space charge and tune depression</w:t>
      </w:r>
    </w:p>
    <w:p>
      <w:r>
        <w:t>In a KV-like smooth-envelope picture, the transverse rms radius obeys an approximate balance among external focusing, emittance pressure, and space-charge defocusing. The supplied notes express the envelope scaling in terms of an external focusing function kappa(s), rms emittance epsilon, and perveance K:</w:t>
      </w:r>
    </w:p>
    <w:p>
      <w:pPr>
        <w:pStyle w:val="FormulaBlock"/>
      </w:pPr>
      <w:r>
        <w:t>R" + kappa(s) R - epsilon^2 / R^3 - K / R = 0</w:t>
      </w:r>
    </w:p>
    <w:p>
      <w:r>
        <w:t>The depressed transverse tune decreases as peak current increases and as beta^3 gamma^3 decreases. The scaling is more important than the exact coefficient because the coefficient depends on the central-region optics, sector focusing, edge focusing, image forces, and the actual matched envelope. The source notes recommend keeping the tune depression or tune shift below roughly 0.2-0.3 to avoid resonance overlap and strong losses in compact machines.</w:t>
      </w:r>
    </w:p>
    <w:p>
      <w:pPr>
        <w:pStyle w:val="Heading2"/>
      </w:pPr>
      <w:r>
        <w:t>2.2 Longitudinal space charge and feedback to transverse losses</w:t>
      </w:r>
    </w:p>
    <w:p>
      <w:r>
        <w:t>The longitudinal problem is not independent. In an isochronous cyclotron, synchrotron-like restoring motion is weak. The finite RF phase acceptance and gap transit-time effects provide limited restoring force, while longitudinal space charge behaves like an inductive impedance that lengthens the bunch. A longer bunch reduces the bunching factor, raises the peak current, and therefore strengthens the transverse perveance. This feedback can create a sharp current wall: once the bunch extends outside the RF phase window, transverse and longitudinal losses grow together.</w:t>
      </w:r>
    </w:p>
    <w:p>
      <w:pPr>
        <w:pStyle w:val="FormulaBlock"/>
      </w:pPr>
      <w:r>
        <w:t>|Z_parallel/n| approximately (Z0 / 2 pi beta gamma^2) G_parallel(b/a)</w:t>
      </w:r>
    </w:p>
    <w:p>
      <w:pPr>
        <w:pStyle w:val="FormulaBlock"/>
      </w:pPr>
      <w:r>
        <w:t>sigma_phi proportional to [ I_peak G_parallel(b/a) / (beta^2 gamma^2 E_kin h q V_rf |cos phi_s|) ]^(1/3)</w:t>
      </w:r>
    </w:p>
    <w:p>
      <w:pPr>
        <w:pStyle w:val="Heading2"/>
      </w:pPr>
      <w:r>
        <w:t>2.3 Spiral-inflector acceptance as the immediate bottleneck</w:t>
      </w:r>
    </w:p>
    <w:p>
      <w:r>
        <w:t>The supplied notes estimate that a compact spiral inflector can have an acceptance of only tens of pi mm mrad, while a 30 keV beam with a modest normalized rms emittance can have a very large geometric emittance because epsilon = epsilon_N/(beta gamma). For example, at 30 keV beta gamma is about 0.008, so epsilon_N,rms = 5 pi mm mrad corresponds to a geometric rms emittance of about 625 pi mm mrad. This explains why stand-alone inflector transmission can be only a few to a few tens of percent even before RF capture losses are included.</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pPr>
              <w:spacing w:after="0"/>
            </w:pPr>
            <w:r/>
            <w:r>
              <w:rPr>
                <w:rFonts w:ascii="Aptos" w:hAnsi="Aptos" w:eastAsia="Aptos"/>
                <w:b/>
                <w:sz w:val="18"/>
              </w:rPr>
              <w:t>Loss mechanism</w:t>
            </w:r>
          </w:p>
        </w:tc>
        <w:tc>
          <w:tcPr>
            <w:tcW w:type="dxa" w:w="4032"/>
            <w:shd w:fill="D9EAF7"/>
            <w:vAlign w:val="center"/>
          </w:tcPr>
          <w:p>
            <w:pPr>
              <w:spacing w:after="0"/>
            </w:pPr>
            <w:r/>
            <w:r>
              <w:rPr>
                <w:rFonts w:ascii="Aptos" w:hAnsi="Aptos" w:eastAsia="Aptos"/>
                <w:b/>
                <w:sz w:val="18"/>
              </w:rPr>
              <w:t>Why it matters before/inside the inflector</w:t>
            </w:r>
          </w:p>
        </w:tc>
        <w:tc>
          <w:tcPr>
            <w:tcW w:type="dxa" w:w="4032"/>
            <w:shd w:fill="D9EAF7"/>
            <w:vAlign w:val="center"/>
          </w:tcPr>
          <w:p>
            <w:pPr>
              <w:spacing w:after="0"/>
            </w:pPr>
            <w:r/>
            <w:r>
              <w:rPr>
                <w:rFonts w:ascii="Aptos" w:hAnsi="Aptos" w:eastAsia="Aptos"/>
                <w:b/>
                <w:sz w:val="18"/>
              </w:rPr>
              <w:t>Implication for plasma-column design</w:t>
            </w:r>
          </w:p>
        </w:tc>
      </w:tr>
      <w:tr>
        <w:tc>
          <w:tcPr>
            <w:tcW w:type="dxa" w:w="2592"/>
            <w:vAlign w:val="top"/>
          </w:tcPr>
          <w:p>
            <w:pPr>
              <w:spacing w:after="0"/>
            </w:pPr>
            <w:r/>
            <w:r>
              <w:rPr>
                <w:rFonts w:ascii="Aptos" w:hAnsi="Aptos" w:eastAsia="Aptos"/>
                <w:b w:val="0"/>
                <w:sz w:val="18"/>
              </w:rPr>
              <w:t>Large geometric emittance at low beta</w:t>
            </w:r>
          </w:p>
        </w:tc>
        <w:tc>
          <w:tcPr>
            <w:tcW w:type="dxa" w:w="4032"/>
            <w:vAlign w:val="top"/>
          </w:tcPr>
          <w:p>
            <w:pPr>
              <w:spacing w:after="0"/>
            </w:pPr>
            <w:r/>
            <w:r>
              <w:rPr>
                <w:rFonts w:ascii="Aptos" w:hAnsi="Aptos" w:eastAsia="Aptos"/>
                <w:b w:val="0"/>
                <w:sz w:val="18"/>
              </w:rPr>
              <w:t>Even good normalized emittance becomes large when divided by beta gamma.</w:t>
            </w:r>
          </w:p>
        </w:tc>
        <w:tc>
          <w:tcPr>
            <w:tcW w:type="dxa" w:w="4032"/>
            <w:vAlign w:val="top"/>
          </w:tcPr>
          <w:p>
            <w:pPr>
              <w:spacing w:after="0"/>
            </w:pPr>
            <w:r/>
            <w:r>
              <w:rPr>
                <w:rFonts w:ascii="Aptos" w:hAnsi="Aptos" w:eastAsia="Aptos"/>
                <w:b w:val="0"/>
                <w:sz w:val="18"/>
              </w:rPr>
              <w:t>Neutralization cannot reduce true emittance, but can reduce envelope blow-up and mismatch.</w:t>
            </w:r>
          </w:p>
        </w:tc>
      </w:tr>
      <w:tr>
        <w:tc>
          <w:tcPr>
            <w:tcW w:type="dxa" w:w="2592"/>
            <w:vAlign w:val="top"/>
          </w:tcPr>
          <w:p>
            <w:pPr>
              <w:spacing w:after="0"/>
            </w:pPr>
            <w:r/>
            <w:r>
              <w:rPr>
                <w:rFonts w:ascii="Aptos" w:hAnsi="Aptos" w:eastAsia="Aptos"/>
                <w:b w:val="0"/>
                <w:sz w:val="18"/>
              </w:rPr>
              <w:t>Loss of neutralization inside electrodes</w:t>
            </w:r>
          </w:p>
        </w:tc>
        <w:tc>
          <w:tcPr>
            <w:tcW w:type="dxa" w:w="4032"/>
            <w:vAlign w:val="top"/>
          </w:tcPr>
          <w:p>
            <w:pPr>
              <w:spacing w:after="0"/>
            </w:pPr>
            <w:r/>
            <w:r>
              <w:rPr>
                <w:rFonts w:ascii="Aptos" w:hAnsi="Aptos" w:eastAsia="Aptos"/>
                <w:b w:val="0"/>
                <w:sz w:val="18"/>
              </w:rPr>
              <w:t>Plasma or residual-gas compensation may be interrupted in the inflector gap.</w:t>
            </w:r>
          </w:p>
        </w:tc>
        <w:tc>
          <w:tcPr>
            <w:tcW w:type="dxa" w:w="4032"/>
            <w:vAlign w:val="top"/>
          </w:tcPr>
          <w:p>
            <w:pPr>
              <w:spacing w:after="0"/>
            </w:pPr>
            <w:r/>
            <w:r>
              <w:rPr>
                <w:rFonts w:ascii="Aptos" w:hAnsi="Aptos" w:eastAsia="Aptos"/>
                <w:b w:val="0"/>
                <w:sz w:val="18"/>
              </w:rPr>
              <w:t>Place the column as close as possible to the inflector entrance and match the beam into the gap.</w:t>
            </w:r>
          </w:p>
        </w:tc>
      </w:tr>
      <w:tr>
        <w:tc>
          <w:tcPr>
            <w:tcW w:type="dxa" w:w="2592"/>
            <w:vAlign w:val="top"/>
          </w:tcPr>
          <w:p>
            <w:pPr>
              <w:spacing w:after="0"/>
            </w:pPr>
            <w:r/>
            <w:r>
              <w:rPr>
                <w:rFonts w:ascii="Aptos" w:hAnsi="Aptos" w:eastAsia="Aptos"/>
                <w:b w:val="0"/>
                <w:sz w:val="18"/>
              </w:rPr>
              <w:t>Nonlinear 3D fields and fringe fields</w:t>
            </w:r>
          </w:p>
        </w:tc>
        <w:tc>
          <w:tcPr>
            <w:tcW w:type="dxa" w:w="4032"/>
            <w:vAlign w:val="top"/>
          </w:tcPr>
          <w:p>
            <w:pPr>
              <w:spacing w:after="0"/>
            </w:pPr>
            <w:r/>
            <w:r>
              <w:rPr>
                <w:rFonts w:ascii="Aptos" w:hAnsi="Aptos" w:eastAsia="Aptos"/>
                <w:b w:val="0"/>
                <w:sz w:val="18"/>
              </w:rPr>
              <w:t>Curved trajectory, electrode edges, and tight gap create nonlinear focusing and scraping.</w:t>
            </w:r>
          </w:p>
        </w:tc>
        <w:tc>
          <w:tcPr>
            <w:tcW w:type="dxa" w:w="4032"/>
            <w:vAlign w:val="top"/>
          </w:tcPr>
          <w:p>
            <w:pPr>
              <w:spacing w:after="0"/>
            </w:pPr>
            <w:r/>
            <w:r>
              <w:rPr>
                <w:rFonts w:ascii="Aptos" w:hAnsi="Aptos" w:eastAsia="Aptos"/>
                <w:b w:val="0"/>
                <w:sz w:val="18"/>
              </w:rPr>
              <w:t>Use field maps and downstream capture simulations; do not rely on envelope scaling alone.</w:t>
            </w:r>
          </w:p>
        </w:tc>
      </w:tr>
      <w:tr>
        <w:tc>
          <w:tcPr>
            <w:tcW w:type="dxa" w:w="2592"/>
            <w:vAlign w:val="top"/>
          </w:tcPr>
          <w:p>
            <w:pPr>
              <w:spacing w:after="0"/>
            </w:pPr>
            <w:r/>
            <w:r>
              <w:rPr>
                <w:rFonts w:ascii="Aptos" w:hAnsi="Aptos" w:eastAsia="Aptos"/>
                <w:b w:val="0"/>
                <w:sz w:val="18"/>
              </w:rPr>
              <w:t>Small RF phase acceptance</w:t>
            </w:r>
          </w:p>
        </w:tc>
        <w:tc>
          <w:tcPr>
            <w:tcW w:type="dxa" w:w="4032"/>
            <w:vAlign w:val="top"/>
          </w:tcPr>
          <w:p>
            <w:pPr>
              <w:spacing w:after="0"/>
            </w:pPr>
            <w:r/>
            <w:r>
              <w:rPr>
                <w:rFonts w:ascii="Aptos" w:hAnsi="Aptos" w:eastAsia="Aptos"/>
                <w:b w:val="0"/>
                <w:sz w:val="18"/>
              </w:rPr>
              <w:t>Only a fraction of particles enter accelerating buckets.</w:t>
            </w:r>
          </w:p>
        </w:tc>
        <w:tc>
          <w:tcPr>
            <w:tcW w:type="dxa" w:w="4032"/>
            <w:vAlign w:val="top"/>
          </w:tcPr>
          <w:p>
            <w:pPr>
              <w:spacing w:after="0"/>
            </w:pPr>
            <w:r/>
            <w:r>
              <w:rPr>
                <w:rFonts w:ascii="Aptos" w:hAnsi="Aptos" w:eastAsia="Aptos"/>
                <w:b w:val="0"/>
                <w:sz w:val="18"/>
              </w:rPr>
              <w:t>Reducing transverse blow-up helps, but overall source-to-capture efficiency still depends on RF phase matching.</w:t>
            </w:r>
          </w:p>
        </w:tc>
      </w:tr>
    </w:tbl>
    <w:p/>
    <w:p>
      <w:pPr>
        <w:pStyle w:val="Heading1"/>
      </w:pPr>
      <w:r>
        <w:t>3. Proposed Plasma-Column Concept</w:t>
      </w:r>
    </w:p>
    <w:p>
      <w:r>
        <w:t>The concept is a compact self-ionized plasma column embedded in an axial solenoid between the final matching solenoid and the spiral or electrostatic inflector. The beam itself ionizes the gas in the cell. Electrons are magnetized by the solenoid and are retained by axial electrostatic barriers, while positive gas ions are comparatively slow and can be drained or allowed to escape. The net result is a partially neutralized beam transport section.</w:t>
      </w:r>
    </w:p>
    <w:p>
      <w:pPr>
        <w:pStyle w:val="Heading2"/>
      </w:pPr>
      <w:r>
        <w:t>3.1 What the module is and is not</w:t>
      </w:r>
    </w:p>
    <w:tbl>
      <w:tblPr>
        <w:tblStyle w:val="TableGrid"/>
        <w:tblW w:type="auto" w:w="0"/>
        <w:jc w:val="center"/>
        <w:tblLook w:firstColumn="1" w:firstRow="1" w:lastColumn="0" w:lastRow="0" w:noHBand="0" w:noVBand="1" w:val="04A0"/>
      </w:tblPr>
      <w:tblGrid>
        <w:gridCol w:w="4968"/>
        <w:gridCol w:w="4968"/>
      </w:tblGrid>
      <w:tr>
        <w:tc>
          <w:tcPr>
            <w:tcW w:type="dxa" w:w="3024"/>
            <w:shd w:fill="D9EAF7"/>
            <w:vAlign w:val="center"/>
          </w:tcPr>
          <w:p>
            <w:pPr>
              <w:spacing w:after="0"/>
            </w:pPr>
            <w:r/>
            <w:r>
              <w:rPr>
                <w:rFonts w:ascii="Aptos" w:hAnsi="Aptos" w:eastAsia="Aptos"/>
                <w:b/>
                <w:sz w:val="18"/>
              </w:rPr>
              <w:t>Description</w:t>
            </w:r>
          </w:p>
        </w:tc>
        <w:tc>
          <w:tcPr>
            <w:tcW w:type="dxa" w:w="7488"/>
            <w:shd w:fill="D9EAF7"/>
            <w:vAlign w:val="center"/>
          </w:tcPr>
          <w:p>
            <w:pPr>
              <w:spacing w:after="0"/>
            </w:pPr>
            <w:r/>
            <w:r>
              <w:rPr>
                <w:rFonts w:ascii="Aptos" w:hAnsi="Aptos" w:eastAsia="Aptos"/>
                <w:b/>
                <w:sz w:val="18"/>
              </w:rPr>
              <w:t>Correct interpretation</w:t>
            </w:r>
          </w:p>
        </w:tc>
      </w:tr>
      <w:tr>
        <w:tc>
          <w:tcPr>
            <w:tcW w:type="dxa" w:w="3024"/>
            <w:vAlign w:val="top"/>
          </w:tcPr>
          <w:p>
            <w:pPr>
              <w:spacing w:after="0"/>
            </w:pPr>
            <w:r/>
            <w:r>
              <w:rPr>
                <w:rFonts w:ascii="Aptos" w:hAnsi="Aptos" w:eastAsia="Aptos"/>
                <w:b w:val="0"/>
                <w:sz w:val="18"/>
              </w:rPr>
              <w:t>Self-ionized plasma column</w:t>
            </w:r>
          </w:p>
        </w:tc>
        <w:tc>
          <w:tcPr>
            <w:tcW w:type="dxa" w:w="7488"/>
            <w:vAlign w:val="top"/>
          </w:tcPr>
          <w:p>
            <w:pPr>
              <w:spacing w:after="0"/>
            </w:pPr>
            <w:r/>
            <w:r>
              <w:rPr>
                <w:rFonts w:ascii="Aptos" w:hAnsi="Aptos" w:eastAsia="Aptos"/>
                <w:b w:val="0"/>
                <w:sz w:val="18"/>
              </w:rPr>
              <w:t>The beam produces plasma by ionizing residual H2 or seeded Kr. No external arc, ECR discharge, or kA plasma current is required.</w:t>
            </w:r>
          </w:p>
        </w:tc>
      </w:tr>
      <w:tr>
        <w:tc>
          <w:tcPr>
            <w:tcW w:type="dxa" w:w="3024"/>
            <w:vAlign w:val="top"/>
          </w:tcPr>
          <w:p>
            <w:pPr>
              <w:spacing w:after="0"/>
            </w:pPr>
            <w:r/>
            <w:r>
              <w:rPr>
                <w:rFonts w:ascii="Aptos" w:hAnsi="Aptos" w:eastAsia="Aptos"/>
                <w:b w:val="0"/>
                <w:sz w:val="18"/>
              </w:rPr>
              <w:t>Space-charge compensation section</w:t>
            </w:r>
          </w:p>
        </w:tc>
        <w:tc>
          <w:tcPr>
            <w:tcW w:type="dxa" w:w="7488"/>
            <w:vAlign w:val="top"/>
          </w:tcPr>
          <w:p>
            <w:pPr>
              <w:spacing w:after="0"/>
            </w:pPr>
            <w:r/>
            <w:r>
              <w:rPr>
                <w:rFonts w:ascii="Aptos" w:hAnsi="Aptos" w:eastAsia="Aptos"/>
                <w:b w:val="0"/>
                <w:sz w:val="18"/>
              </w:rPr>
              <w:t>Its primary purpose is to reduce the effective Coulomb defocusing force before the inflector.</w:t>
            </w:r>
          </w:p>
        </w:tc>
      </w:tr>
      <w:tr>
        <w:tc>
          <w:tcPr>
            <w:tcW w:type="dxa" w:w="3024"/>
            <w:vAlign w:val="top"/>
          </w:tcPr>
          <w:p>
            <w:pPr>
              <w:spacing w:after="0"/>
            </w:pPr>
            <w:r/>
            <w:r>
              <w:rPr>
                <w:rFonts w:ascii="Aptos" w:hAnsi="Aptos" w:eastAsia="Aptos"/>
                <w:b w:val="0"/>
                <w:sz w:val="18"/>
              </w:rPr>
              <w:t>Mild ion/electron-column focusing possible</w:t>
            </w:r>
          </w:p>
        </w:tc>
        <w:tc>
          <w:tcPr>
            <w:tcW w:type="dxa" w:w="7488"/>
            <w:vAlign w:val="top"/>
          </w:tcPr>
          <w:p>
            <w:pPr>
              <w:spacing w:after="0"/>
            </w:pPr>
            <w:r/>
            <w:r>
              <w:rPr>
                <w:rFonts w:ascii="Aptos" w:hAnsi="Aptos" w:eastAsia="Aptos"/>
                <w:b w:val="0"/>
                <w:sz w:val="18"/>
              </w:rPr>
              <w:t>Residual plasma fields can modify focusing, but the design should avoid relying on uncontrolled strong lensing.</w:t>
            </w:r>
          </w:p>
        </w:tc>
      </w:tr>
      <w:tr>
        <w:tc>
          <w:tcPr>
            <w:tcW w:type="dxa" w:w="3024"/>
            <w:vAlign w:val="top"/>
          </w:tcPr>
          <w:p>
            <w:pPr>
              <w:spacing w:after="0"/>
            </w:pPr>
            <w:r/>
            <w:r>
              <w:rPr>
                <w:rFonts w:ascii="Aptos" w:hAnsi="Aptos" w:eastAsia="Aptos"/>
                <w:b w:val="0"/>
                <w:sz w:val="18"/>
              </w:rPr>
              <w:t>Not a conventional current-carrying plasma lens</w:t>
            </w:r>
          </w:p>
        </w:tc>
        <w:tc>
          <w:tcPr>
            <w:tcW w:type="dxa" w:w="7488"/>
            <w:vAlign w:val="top"/>
          </w:tcPr>
          <w:p>
            <w:pPr>
              <w:spacing w:after="0"/>
            </w:pPr>
            <w:r/>
            <w:r>
              <w:rPr>
                <w:rFonts w:ascii="Aptos" w:hAnsi="Aptos" w:eastAsia="Aptos"/>
                <w:b w:val="0"/>
                <w:sz w:val="18"/>
              </w:rPr>
              <w:t>Without a large discharge current, the module does not generate the strong azimuthal magnetic field of an active plasma lens.</w:t>
            </w:r>
          </w:p>
        </w:tc>
      </w:tr>
      <w:tr>
        <w:tc>
          <w:tcPr>
            <w:tcW w:type="dxa" w:w="3024"/>
            <w:vAlign w:val="top"/>
          </w:tcPr>
          <w:p>
            <w:pPr>
              <w:spacing w:after="0"/>
            </w:pPr>
            <w:r/>
            <w:r>
              <w:rPr>
                <w:rFonts w:ascii="Aptos" w:hAnsi="Aptos" w:eastAsia="Aptos"/>
                <w:b w:val="0"/>
                <w:sz w:val="18"/>
              </w:rPr>
              <w:t>Not a cure for poor matching or RF capture</w:t>
            </w:r>
          </w:p>
        </w:tc>
        <w:tc>
          <w:tcPr>
            <w:tcW w:type="dxa" w:w="7488"/>
            <w:vAlign w:val="top"/>
          </w:tcPr>
          <w:p>
            <w:pPr>
              <w:spacing w:after="0"/>
            </w:pPr>
            <w:r/>
            <w:r>
              <w:rPr>
                <w:rFonts w:ascii="Aptos" w:hAnsi="Aptos" w:eastAsia="Aptos"/>
                <w:b w:val="0"/>
                <w:sz w:val="18"/>
              </w:rPr>
              <w:t>The plasma reduces effective perveance; the beamline still needs matching into the inflector and central region.</w:t>
            </w:r>
          </w:p>
        </w:tc>
      </w:tr>
    </w:tbl>
    <w:p/>
    <w:p>
      <w:pPr>
        <w:pStyle w:val="Heading2"/>
      </w:pPr>
      <w:r>
        <w:t>3.2 Baseline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pPr>
              <w:spacing w:after="0"/>
            </w:pPr>
            <w:r/>
            <w:r>
              <w:rPr>
                <w:rFonts w:ascii="Aptos" w:hAnsi="Aptos" w:eastAsia="Aptos"/>
                <w:b/>
                <w:sz w:val="18"/>
              </w:rPr>
              <w:t>Parameter</w:t>
            </w:r>
          </w:p>
        </w:tc>
        <w:tc>
          <w:tcPr>
            <w:tcW w:type="dxa" w:w="3168"/>
            <w:shd w:fill="D9EAF7"/>
            <w:vAlign w:val="center"/>
          </w:tcPr>
          <w:p>
            <w:pPr>
              <w:spacing w:after="0"/>
            </w:pPr>
            <w:r/>
            <w:r>
              <w:rPr>
                <w:rFonts w:ascii="Aptos" w:hAnsi="Aptos" w:eastAsia="Aptos"/>
                <w:b/>
                <w:sz w:val="18"/>
              </w:rPr>
              <w:t>Baseline or range</w:t>
            </w:r>
          </w:p>
        </w:tc>
        <w:tc>
          <w:tcPr>
            <w:tcW w:type="dxa" w:w="4896"/>
            <w:shd w:fill="D9EAF7"/>
            <w:vAlign w:val="center"/>
          </w:tcPr>
          <w:p>
            <w:pPr>
              <w:spacing w:after="0"/>
            </w:pPr>
            <w:r/>
            <w:r>
              <w:rPr>
                <w:rFonts w:ascii="Aptos" w:hAnsi="Aptos" w:eastAsia="Aptos"/>
                <w:b/>
                <w:sz w:val="18"/>
              </w:rPr>
              <w:t>Reasoning</w:t>
            </w:r>
          </w:p>
        </w:tc>
      </w:tr>
      <w:tr>
        <w:tc>
          <w:tcPr>
            <w:tcW w:type="dxa" w:w="2448"/>
            <w:vAlign w:val="top"/>
          </w:tcPr>
          <w:p>
            <w:pPr>
              <w:spacing w:after="0"/>
            </w:pPr>
            <w:r/>
            <w:r>
              <w:rPr>
                <w:rFonts w:ascii="Aptos" w:hAnsi="Aptos" w:eastAsia="Aptos"/>
                <w:b w:val="0"/>
                <w:sz w:val="18"/>
              </w:rPr>
              <w:t>Beam species</w:t>
            </w:r>
          </w:p>
        </w:tc>
        <w:tc>
          <w:tcPr>
            <w:tcW w:type="dxa" w:w="3168"/>
            <w:vAlign w:val="top"/>
          </w:tcPr>
          <w:p>
            <w:pPr>
              <w:spacing w:after="0"/>
            </w:pPr>
            <w:r/>
            <w:r>
              <w:rPr>
                <w:rFonts w:ascii="Aptos" w:hAnsi="Aptos" w:eastAsia="Aptos"/>
                <w:b w:val="0"/>
                <w:sz w:val="18"/>
              </w:rPr>
              <w:t>Protons, p+</w:t>
            </w:r>
          </w:p>
        </w:tc>
        <w:tc>
          <w:tcPr>
            <w:tcW w:type="dxa" w:w="4896"/>
            <w:vAlign w:val="top"/>
          </w:tcPr>
          <w:p>
            <w:pPr>
              <w:spacing w:after="0"/>
            </w:pPr>
            <w:r/>
            <w:r>
              <w:rPr>
                <w:rFonts w:ascii="Aptos" w:hAnsi="Aptos" w:eastAsia="Aptos"/>
                <w:b w:val="0"/>
                <w:sz w:val="18"/>
              </w:rPr>
              <w:t>Concept is compatible with positive beams. H- compatibility is poor because gas/plasma stripping is severe.</w:t>
            </w:r>
          </w:p>
        </w:tc>
      </w:tr>
      <w:tr>
        <w:tc>
          <w:tcPr>
            <w:tcW w:type="dxa" w:w="2448"/>
            <w:vAlign w:val="top"/>
          </w:tcPr>
          <w:p>
            <w:pPr>
              <w:spacing w:after="0"/>
            </w:pPr>
            <w:r/>
            <w:r>
              <w:rPr>
                <w:rFonts w:ascii="Aptos" w:hAnsi="Aptos" w:eastAsia="Aptos"/>
                <w:b w:val="0"/>
                <w:sz w:val="18"/>
              </w:rPr>
              <w:t>Beam energy</w:t>
            </w:r>
          </w:p>
        </w:tc>
        <w:tc>
          <w:tcPr>
            <w:tcW w:type="dxa" w:w="3168"/>
            <w:vAlign w:val="top"/>
          </w:tcPr>
          <w:p>
            <w:pPr>
              <w:spacing w:after="0"/>
            </w:pPr>
            <w:r/>
            <w:r>
              <w:rPr>
                <w:rFonts w:ascii="Aptos" w:hAnsi="Aptos" w:eastAsia="Aptos"/>
                <w:b w:val="0"/>
                <w:sz w:val="18"/>
              </w:rPr>
              <w:t>20-30 keV; design point 30 keV</w:t>
            </w:r>
          </w:p>
        </w:tc>
        <w:tc>
          <w:tcPr>
            <w:tcW w:type="dxa" w:w="4896"/>
            <w:vAlign w:val="top"/>
          </w:tcPr>
          <w:p>
            <w:pPr>
              <w:spacing w:after="0"/>
            </w:pPr>
            <w:r/>
            <w:r>
              <w:rPr>
                <w:rFonts w:ascii="Aptos" w:hAnsi="Aptos" w:eastAsia="Aptos"/>
                <w:b w:val="0"/>
                <w:sz w:val="18"/>
              </w:rPr>
              <w:t>This is the severe low-beta injection regime where compensation has high leverage.</w:t>
            </w:r>
          </w:p>
        </w:tc>
      </w:tr>
      <w:tr>
        <w:tc>
          <w:tcPr>
            <w:tcW w:type="dxa" w:w="2448"/>
            <w:vAlign w:val="top"/>
          </w:tcPr>
          <w:p>
            <w:pPr>
              <w:spacing w:after="0"/>
            </w:pPr>
            <w:r/>
            <w:r>
              <w:rPr>
                <w:rFonts w:ascii="Aptos" w:hAnsi="Aptos" w:eastAsia="Aptos"/>
                <w:b w:val="0"/>
                <w:sz w:val="18"/>
              </w:rPr>
              <w:t>Beam current</w:t>
            </w:r>
          </w:p>
        </w:tc>
        <w:tc>
          <w:tcPr>
            <w:tcW w:type="dxa" w:w="3168"/>
            <w:vAlign w:val="top"/>
          </w:tcPr>
          <w:p>
            <w:pPr>
              <w:spacing w:after="0"/>
            </w:pPr>
            <w:r/>
            <w:r>
              <w:rPr>
                <w:rFonts w:ascii="Aptos" w:hAnsi="Aptos" w:eastAsia="Aptos"/>
                <w:b w:val="0"/>
                <w:sz w:val="18"/>
              </w:rPr>
              <w:t>1-10 mA DC or long macropulse</w:t>
            </w:r>
          </w:p>
        </w:tc>
        <w:tc>
          <w:tcPr>
            <w:tcW w:type="dxa" w:w="4896"/>
            <w:vAlign w:val="top"/>
          </w:tcPr>
          <w:p>
            <w:pPr>
              <w:spacing w:after="0"/>
            </w:pPr>
            <w:r/>
            <w:r>
              <w:rPr>
                <w:rFonts w:ascii="Aptos" w:hAnsi="Aptos" w:eastAsia="Aptos"/>
                <w:b w:val="0"/>
                <w:sz w:val="18"/>
              </w:rPr>
              <w:t>High enough that space-charge mitigation is valuable; neutralization time constant is approximately current independent.</w:t>
            </w:r>
          </w:p>
        </w:tc>
      </w:tr>
      <w:tr>
        <w:tc>
          <w:tcPr>
            <w:tcW w:type="dxa" w:w="2448"/>
            <w:vAlign w:val="top"/>
          </w:tcPr>
          <w:p>
            <w:pPr>
              <w:spacing w:after="0"/>
            </w:pPr>
            <w:r/>
            <w:r>
              <w:rPr>
                <w:rFonts w:ascii="Aptos" w:hAnsi="Aptos" w:eastAsia="Aptos"/>
                <w:b w:val="0"/>
                <w:sz w:val="18"/>
              </w:rPr>
              <w:t>Beam radius</w:t>
            </w:r>
          </w:p>
        </w:tc>
        <w:tc>
          <w:tcPr>
            <w:tcW w:type="dxa" w:w="3168"/>
            <w:vAlign w:val="top"/>
          </w:tcPr>
          <w:p>
            <w:pPr>
              <w:spacing w:after="0"/>
            </w:pPr>
            <w:r/>
            <w:r>
              <w:rPr>
                <w:rFonts w:ascii="Aptos" w:hAnsi="Aptos" w:eastAsia="Aptos"/>
                <w:b w:val="0"/>
                <w:sz w:val="18"/>
              </w:rPr>
              <w:t>1-5 mm</w:t>
            </w:r>
          </w:p>
        </w:tc>
        <w:tc>
          <w:tcPr>
            <w:tcW w:type="dxa" w:w="4896"/>
            <w:vAlign w:val="top"/>
          </w:tcPr>
          <w:p>
            <w:pPr>
              <w:spacing w:after="0"/>
            </w:pPr>
            <w:r/>
            <w:r>
              <w:rPr>
                <w:rFonts w:ascii="Aptos" w:hAnsi="Aptos" w:eastAsia="Aptos"/>
                <w:b w:val="0"/>
                <w:sz w:val="18"/>
              </w:rPr>
              <w:t>Matches compact axial-line beam sizes and electron gyroradius remains much smaller.</w:t>
            </w:r>
          </w:p>
        </w:tc>
      </w:tr>
      <w:tr>
        <w:tc>
          <w:tcPr>
            <w:tcW w:type="dxa" w:w="2448"/>
            <w:vAlign w:val="top"/>
          </w:tcPr>
          <w:p>
            <w:pPr>
              <w:spacing w:after="0"/>
            </w:pPr>
            <w:r/>
            <w:r>
              <w:rPr>
                <w:rFonts w:ascii="Aptos" w:hAnsi="Aptos" w:eastAsia="Aptos"/>
                <w:b w:val="0"/>
                <w:sz w:val="18"/>
              </w:rPr>
              <w:t>Active length</w:t>
            </w:r>
          </w:p>
        </w:tc>
        <w:tc>
          <w:tcPr>
            <w:tcW w:type="dxa" w:w="3168"/>
            <w:vAlign w:val="top"/>
          </w:tcPr>
          <w:p>
            <w:pPr>
              <w:spacing w:after="0"/>
            </w:pPr>
            <w:r/>
            <w:r>
              <w:rPr>
                <w:rFonts w:ascii="Aptos" w:hAnsi="Aptos" w:eastAsia="Aptos"/>
                <w:b w:val="0"/>
                <w:sz w:val="18"/>
              </w:rPr>
              <w:t>0.1, 0.2, or 0.3 m; nominal 0.2 m</w:t>
            </w:r>
          </w:p>
        </w:tc>
        <w:tc>
          <w:tcPr>
            <w:tcW w:type="dxa" w:w="4896"/>
            <w:vAlign w:val="top"/>
          </w:tcPr>
          <w:p>
            <w:pPr>
              <w:spacing w:after="0"/>
            </w:pPr>
            <w:r/>
            <w:r>
              <w:rPr>
                <w:rFonts w:ascii="Aptos" w:hAnsi="Aptos" w:eastAsia="Aptos"/>
                <w:b w:val="0"/>
                <w:sz w:val="18"/>
              </w:rPr>
              <w:t>Long enough to create plasma and provide matching; short enough for compact drop-in integration.</w:t>
            </w:r>
          </w:p>
        </w:tc>
      </w:tr>
      <w:tr>
        <w:tc>
          <w:tcPr>
            <w:tcW w:type="dxa" w:w="2448"/>
            <w:vAlign w:val="top"/>
          </w:tcPr>
          <w:p>
            <w:pPr>
              <w:spacing w:after="0"/>
            </w:pPr>
            <w:r/>
            <w:r>
              <w:rPr>
                <w:rFonts w:ascii="Aptos" w:hAnsi="Aptos" w:eastAsia="Aptos"/>
                <w:b w:val="0"/>
                <w:sz w:val="18"/>
              </w:rPr>
              <w:t>Gas</w:t>
            </w:r>
          </w:p>
        </w:tc>
        <w:tc>
          <w:tcPr>
            <w:tcW w:type="dxa" w:w="3168"/>
            <w:vAlign w:val="top"/>
          </w:tcPr>
          <w:p>
            <w:pPr>
              <w:spacing w:after="0"/>
            </w:pPr>
            <w:r/>
            <w:r>
              <w:rPr>
                <w:rFonts w:ascii="Aptos" w:hAnsi="Aptos" w:eastAsia="Aptos"/>
                <w:b w:val="0"/>
                <w:sz w:val="18"/>
              </w:rPr>
              <w:t>H2 baseline; Kr optional</w:t>
            </w:r>
          </w:p>
        </w:tc>
        <w:tc>
          <w:tcPr>
            <w:tcW w:type="dxa" w:w="4896"/>
            <w:vAlign w:val="top"/>
          </w:tcPr>
          <w:p>
            <w:pPr>
              <w:spacing w:after="0"/>
            </w:pPr>
            <w:r/>
            <w:r>
              <w:rPr>
                <w:rFonts w:ascii="Aptos" w:hAnsi="Aptos" w:eastAsia="Aptos"/>
                <w:b w:val="0"/>
                <w:sz w:val="18"/>
              </w:rPr>
              <w:t>H2 minimizes scattering; Kr has larger ionization cross section for fast turn-on.</w:t>
            </w:r>
          </w:p>
        </w:tc>
      </w:tr>
      <w:tr>
        <w:tc>
          <w:tcPr>
            <w:tcW w:type="dxa" w:w="2448"/>
            <w:vAlign w:val="top"/>
          </w:tcPr>
          <w:p>
            <w:pPr>
              <w:spacing w:after="0"/>
            </w:pPr>
            <w:r/>
            <w:r>
              <w:rPr>
                <w:rFonts w:ascii="Aptos" w:hAnsi="Aptos" w:eastAsia="Aptos"/>
                <w:b w:val="0"/>
                <w:sz w:val="18"/>
              </w:rPr>
              <w:t>Local pressure</w:t>
            </w:r>
          </w:p>
        </w:tc>
        <w:tc>
          <w:tcPr>
            <w:tcW w:type="dxa" w:w="3168"/>
            <w:vAlign w:val="top"/>
          </w:tcPr>
          <w:p>
            <w:pPr>
              <w:spacing w:after="0"/>
            </w:pPr>
            <w:r/>
            <w:r>
              <w:rPr>
                <w:rFonts w:ascii="Aptos" w:hAnsi="Aptos" w:eastAsia="Aptos"/>
                <w:b w:val="0"/>
                <w:sz w:val="18"/>
              </w:rPr>
              <w:t>~1e-5 torr</w:t>
            </w:r>
          </w:p>
        </w:tc>
        <w:tc>
          <w:tcPr>
            <w:tcW w:type="dxa" w:w="4896"/>
            <w:vAlign w:val="top"/>
          </w:tcPr>
          <w:p>
            <w:pPr>
              <w:spacing w:after="0"/>
            </w:pPr>
            <w:r/>
            <w:r>
              <w:rPr>
                <w:rFonts w:ascii="Aptos" w:hAnsi="Aptos" w:eastAsia="Aptos"/>
                <w:b w:val="0"/>
                <w:sz w:val="18"/>
              </w:rPr>
              <w:t>Sub-0.1 ms neutralization estimates at 30 keV; requires differential pumping.</w:t>
            </w:r>
          </w:p>
        </w:tc>
      </w:tr>
      <w:tr>
        <w:tc>
          <w:tcPr>
            <w:tcW w:type="dxa" w:w="2448"/>
            <w:vAlign w:val="top"/>
          </w:tcPr>
          <w:p>
            <w:pPr>
              <w:spacing w:after="0"/>
            </w:pPr>
            <w:r/>
            <w:r>
              <w:rPr>
                <w:rFonts w:ascii="Aptos" w:hAnsi="Aptos" w:eastAsia="Aptos"/>
                <w:b w:val="0"/>
                <w:sz w:val="18"/>
              </w:rPr>
              <w:t>Solenoid field</w:t>
            </w:r>
          </w:p>
        </w:tc>
        <w:tc>
          <w:tcPr>
            <w:tcW w:type="dxa" w:w="3168"/>
            <w:vAlign w:val="top"/>
          </w:tcPr>
          <w:p>
            <w:pPr>
              <w:spacing w:after="0"/>
            </w:pPr>
            <w:r/>
            <w:r>
              <w:rPr>
                <w:rFonts w:ascii="Aptos" w:hAnsi="Aptos" w:eastAsia="Aptos"/>
                <w:b w:val="0"/>
                <w:sz w:val="18"/>
              </w:rPr>
              <w:t>0.1-0.2 T</w:t>
            </w:r>
          </w:p>
        </w:tc>
        <w:tc>
          <w:tcPr>
            <w:tcW w:type="dxa" w:w="4896"/>
            <w:vAlign w:val="top"/>
          </w:tcPr>
          <w:p>
            <w:pPr>
              <w:spacing w:after="0"/>
            </w:pPr>
            <w:r/>
            <w:r>
              <w:rPr>
                <w:rFonts w:ascii="Aptos" w:hAnsi="Aptos" w:eastAsia="Aptos"/>
                <w:b w:val="0"/>
                <w:sz w:val="18"/>
              </w:rPr>
              <w:t>Strong electron magnetization and beam matching; avoid excessive coupling/fringe-field distortions.</w:t>
            </w:r>
          </w:p>
        </w:tc>
      </w:tr>
      <w:tr>
        <w:tc>
          <w:tcPr>
            <w:tcW w:type="dxa" w:w="2448"/>
            <w:vAlign w:val="top"/>
          </w:tcPr>
          <w:p>
            <w:pPr>
              <w:spacing w:after="0"/>
            </w:pPr>
            <w:r/>
            <w:r>
              <w:rPr>
                <w:rFonts w:ascii="Aptos" w:hAnsi="Aptos" w:eastAsia="Aptos"/>
                <w:b w:val="0"/>
                <w:sz w:val="18"/>
              </w:rPr>
              <w:t>Tank pressure target</w:t>
            </w:r>
          </w:p>
        </w:tc>
        <w:tc>
          <w:tcPr>
            <w:tcW w:type="dxa" w:w="3168"/>
            <w:vAlign w:val="top"/>
          </w:tcPr>
          <w:p>
            <w:pPr>
              <w:spacing w:after="0"/>
            </w:pPr>
            <w:r/>
            <w:r>
              <w:rPr>
                <w:rFonts w:ascii="Aptos" w:hAnsi="Aptos" w:eastAsia="Aptos"/>
                <w:b w:val="0"/>
                <w:sz w:val="18"/>
              </w:rPr>
              <w:t>&lt;=1e-7 torr</w:t>
            </w:r>
          </w:p>
        </w:tc>
        <w:tc>
          <w:tcPr>
            <w:tcW w:type="dxa" w:w="4896"/>
            <w:vAlign w:val="top"/>
          </w:tcPr>
          <w:p>
            <w:pPr>
              <w:spacing w:after="0"/>
            </w:pPr>
            <w:r/>
            <w:r>
              <w:rPr>
                <w:rFonts w:ascii="Aptos" w:hAnsi="Aptos" w:eastAsia="Aptos"/>
                <w:b w:val="0"/>
                <w:sz w:val="18"/>
              </w:rPr>
              <w:t>Protects cyclotron vacuum, inflector HV, and downstream operation.</w:t>
            </w:r>
          </w:p>
        </w:tc>
      </w:tr>
    </w:tbl>
    <w:p/>
    <w:p>
      <w:pPr>
        <w:pStyle w:val="Heading1"/>
      </w:pPr>
      <w:r>
        <w:t>4. Plasma Production and Neutralization Physics</w:t>
      </w:r>
    </w:p>
    <w:p>
      <w:pPr>
        <w:pStyle w:val="Heading2"/>
      </w:pPr>
      <w:r>
        <w:t>4.1 Gas density and ionization probability</w:t>
      </w:r>
    </w:p>
    <w:p>
      <w:r>
        <w:t>For a gas at pressure P and temperature T, the neutral gas density is n_g = P/(k_B T). A beam proton traversing a length L has an approximate single-pass ionization probability p = n_g sigma L, where sigma is the ionization cross section. At 30 keV, the supplied notes use order-of-magnitude cross sections sigma_H2 approximately 2e-20 m^2 and sigma_Kr approximately 1e-19 m^2.</w:t>
      </w:r>
    </w:p>
    <w:p>
      <w:pPr>
        <w:pStyle w:val="FormulaBlock"/>
      </w:pPr>
      <w:r>
        <w:t>n_g = P/(k_B T)</w:t>
      </w:r>
    </w:p>
    <w:p>
      <w:pPr>
        <w:pStyle w:val="FormulaBlock"/>
      </w:pPr>
      <w:r>
        <w:t>p = n_g sigma L</w:t>
      </w:r>
    </w:p>
    <w:p>
      <w:r>
        <w:t>At 1e-5 torr and 300 K, n_g is about 3.2e17 m^-3. For L = 0.1, 0.2, and 0.3 m, the source notes estimate p_H2 about 6.4e-4, 1.3e-3, and 1.9e-3. For Kr, the values are about five times higher: 3.2e-3, 6.4e-3, and 9.6e-3.</w:t>
      </w:r>
    </w:p>
    <w:p>
      <w:pPr>
        <w:pStyle w:val="Heading2"/>
      </w:pPr>
      <w:r>
        <w:t>4.2 Beam density and volumetric production rate</w:t>
      </w:r>
    </w:p>
    <w:p>
      <w:r>
        <w:t>For a round beam of radius r_b, current I, and velocity v, the beam density is approximately:</w:t>
      </w:r>
    </w:p>
    <w:p>
      <w:pPr>
        <w:pStyle w:val="FormulaBlock"/>
      </w:pPr>
      <w:r>
        <w:t>n_b = I / (e v pi r_b^2)</w:t>
      </w:r>
    </w:p>
    <w:p>
      <w:r>
        <w:t>The volumetric ion-pair production rate in the beam volume is then approximately:</w:t>
      </w:r>
    </w:p>
    <w:p>
      <w:pPr>
        <w:pStyle w:val="FormulaBlock"/>
      </w:pPr>
      <w:r>
        <w:t>S = n_b n_g sigma v</w:t>
      </w:r>
    </w:p>
    <w:p>
      <w:r>
        <w:t>A useful result follows by dividing the density required for neutralization by the production rate: the characteristic neutralization build-up time is approximately independent of beam current and beam radius in the simplest model, because both the required density and the production rate scale with beam density.</w:t>
      </w:r>
    </w:p>
    <w:p>
      <w:pPr>
        <w:pStyle w:val="Heading2"/>
      </w:pPr>
      <w:r>
        <w:t>4.3 Neutralization build-up time</w:t>
      </w:r>
    </w:p>
    <w:p>
      <w:pPr>
        <w:pStyle w:val="FormulaBlock"/>
      </w:pPr>
      <w:r>
        <w:t>tau = 1 / (n_g sigma v)</w:t>
      </w:r>
    </w:p>
    <w:p>
      <w:pPr>
        <w:pStyle w:val="FormulaBlock"/>
      </w:pPr>
      <w:r>
        <w:t>f(t) = f_ss [1 - exp(-t/tau)]</w:t>
      </w:r>
    </w:p>
    <w:p>
      <w:pPr>
        <w:pStyle w:val="FormulaBlock"/>
      </w:pPr>
      <w:r>
        <w:t>K_eff(t) / K = 1 - f(t)</w:t>
      </w:r>
    </w:p>
    <w:p>
      <w:r>
        <w:t>For 30 keV protons, v is about 2.4e6 m/s. Using P = 1e-5 torr gives tau_H2 about 0.064 ms and tau_Kr about 0.013 ms. Time to reach 90%, 95%, and 99% of steady-state is approximately 2.30 tau, 3.00 tau, and 4.61 tau, respectively. Thus H2 reaches 95% of its steady value in about 0.19 ms, while Kr reaches the same fraction in about 0.039 ms.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152"/>
            <w:shd w:fill="D9EAF7"/>
            <w:vAlign w:val="center"/>
          </w:tcPr>
          <w:p>
            <w:pPr>
              <w:spacing w:after="0"/>
            </w:pPr>
            <w:r/>
            <w:r>
              <w:rPr>
                <w:rFonts w:ascii="Aptos" w:hAnsi="Aptos" w:eastAsia="Aptos"/>
                <w:b/>
                <w:sz w:val="18"/>
              </w:rPr>
              <w:t>Gas</w:t>
            </w:r>
          </w:p>
        </w:tc>
        <w:tc>
          <w:tcPr>
            <w:tcW w:type="dxa" w:w="1872"/>
            <w:shd w:fill="D9EAF7"/>
            <w:vAlign w:val="center"/>
          </w:tcPr>
          <w:p>
            <w:pPr>
              <w:spacing w:after="0"/>
            </w:pPr>
            <w:r/>
            <w:r>
              <w:rPr>
                <w:rFonts w:ascii="Aptos" w:hAnsi="Aptos" w:eastAsia="Aptos"/>
                <w:b/>
                <w:sz w:val="18"/>
              </w:rPr>
              <w:t>Cross section used</w:t>
            </w:r>
          </w:p>
        </w:tc>
        <w:tc>
          <w:tcPr>
            <w:tcW w:type="dxa" w:w="1584"/>
            <w:shd w:fill="D9EAF7"/>
            <w:vAlign w:val="center"/>
          </w:tcPr>
          <w:p>
            <w:pPr>
              <w:spacing w:after="0"/>
            </w:pPr>
            <w:r/>
            <w:r>
              <w:rPr>
                <w:rFonts w:ascii="Aptos" w:hAnsi="Aptos" w:eastAsia="Aptos"/>
                <w:b/>
                <w:sz w:val="18"/>
              </w:rPr>
              <w:t>tau at 1e-5 torr</w:t>
            </w:r>
          </w:p>
        </w:tc>
        <w:tc>
          <w:tcPr>
            <w:tcW w:type="dxa" w:w="1152"/>
            <w:shd w:fill="D9EAF7"/>
            <w:vAlign w:val="center"/>
          </w:tcPr>
          <w:p>
            <w:pPr>
              <w:spacing w:after="0"/>
            </w:pPr>
            <w:r/>
            <w:r>
              <w:rPr>
                <w:rFonts w:ascii="Aptos" w:hAnsi="Aptos" w:eastAsia="Aptos"/>
                <w:b/>
                <w:sz w:val="18"/>
              </w:rPr>
              <w:t>t90</w:t>
            </w:r>
          </w:p>
        </w:tc>
        <w:tc>
          <w:tcPr>
            <w:tcW w:type="dxa" w:w="1152"/>
            <w:shd w:fill="D9EAF7"/>
            <w:vAlign w:val="center"/>
          </w:tcPr>
          <w:p>
            <w:pPr>
              <w:spacing w:after="0"/>
            </w:pPr>
            <w:r/>
            <w:r>
              <w:rPr>
                <w:rFonts w:ascii="Aptos" w:hAnsi="Aptos" w:eastAsia="Aptos"/>
                <w:b/>
                <w:sz w:val="18"/>
              </w:rPr>
              <w:t>t95</w:t>
            </w:r>
          </w:p>
        </w:tc>
        <w:tc>
          <w:tcPr>
            <w:tcW w:type="dxa" w:w="1152"/>
            <w:shd w:fill="D9EAF7"/>
            <w:vAlign w:val="center"/>
          </w:tcPr>
          <w:p>
            <w:pPr>
              <w:spacing w:after="0"/>
            </w:pPr>
            <w:r/>
            <w:r>
              <w:rPr>
                <w:rFonts w:ascii="Aptos" w:hAnsi="Aptos" w:eastAsia="Aptos"/>
                <w:b/>
                <w:sz w:val="18"/>
              </w:rPr>
              <w:t>t99</w:t>
            </w:r>
          </w:p>
        </w:tc>
        <w:tc>
          <w:tcPr>
            <w:tcW w:type="dxa" w:w="2880"/>
            <w:shd w:fill="D9EAF7"/>
            <w:vAlign w:val="center"/>
          </w:tcPr>
          <w:p>
            <w:pPr>
              <w:spacing w:after="0"/>
            </w:pPr>
            <w:r/>
            <w:r>
              <w:rPr>
                <w:rFonts w:ascii="Aptos" w:hAnsi="Aptos" w:eastAsia="Aptos"/>
                <w:b/>
                <w:sz w:val="18"/>
              </w:rPr>
              <w:t>Design implication</w:t>
            </w:r>
          </w:p>
        </w:tc>
      </w:tr>
      <w:tr>
        <w:tc>
          <w:tcPr>
            <w:tcW w:type="dxa" w:w="1152"/>
            <w:vAlign w:val="top"/>
          </w:tcPr>
          <w:p>
            <w:pPr>
              <w:spacing w:after="0"/>
            </w:pPr>
            <w:r/>
            <w:r>
              <w:rPr>
                <w:rFonts w:ascii="Aptos" w:hAnsi="Aptos" w:eastAsia="Aptos"/>
                <w:b w:val="0"/>
                <w:sz w:val="18"/>
              </w:rPr>
              <w:t>H2</w:t>
            </w:r>
          </w:p>
        </w:tc>
        <w:tc>
          <w:tcPr>
            <w:tcW w:type="dxa" w:w="1872"/>
            <w:vAlign w:val="top"/>
          </w:tcPr>
          <w:p>
            <w:pPr>
              <w:spacing w:after="0"/>
            </w:pPr>
            <w:r/>
            <w:r>
              <w:rPr>
                <w:rFonts w:ascii="Aptos" w:hAnsi="Aptos" w:eastAsia="Aptos"/>
                <w:b w:val="0"/>
                <w:sz w:val="18"/>
              </w:rPr>
              <w:t>2e-20 m^2</w:t>
            </w:r>
          </w:p>
        </w:tc>
        <w:tc>
          <w:tcPr>
            <w:tcW w:type="dxa" w:w="1584"/>
            <w:vAlign w:val="top"/>
          </w:tcPr>
          <w:p>
            <w:pPr>
              <w:spacing w:after="0"/>
            </w:pPr>
            <w:r/>
            <w:r>
              <w:rPr>
                <w:rFonts w:ascii="Aptos" w:hAnsi="Aptos" w:eastAsia="Aptos"/>
                <w:b w:val="0"/>
                <w:sz w:val="18"/>
              </w:rPr>
              <w:t>0.064 ms</w:t>
            </w:r>
          </w:p>
        </w:tc>
        <w:tc>
          <w:tcPr>
            <w:tcW w:type="dxa" w:w="1152"/>
            <w:vAlign w:val="top"/>
          </w:tcPr>
          <w:p>
            <w:pPr>
              <w:spacing w:after="0"/>
            </w:pPr>
            <w:r/>
            <w:r>
              <w:rPr>
                <w:rFonts w:ascii="Aptos" w:hAnsi="Aptos" w:eastAsia="Aptos"/>
                <w:b w:val="0"/>
                <w:sz w:val="18"/>
              </w:rPr>
              <w:t>0.15 ms</w:t>
            </w:r>
          </w:p>
        </w:tc>
        <w:tc>
          <w:tcPr>
            <w:tcW w:type="dxa" w:w="1152"/>
            <w:vAlign w:val="top"/>
          </w:tcPr>
          <w:p>
            <w:pPr>
              <w:spacing w:after="0"/>
            </w:pPr>
            <w:r/>
            <w:r>
              <w:rPr>
                <w:rFonts w:ascii="Aptos" w:hAnsi="Aptos" w:eastAsia="Aptos"/>
                <w:b w:val="0"/>
                <w:sz w:val="18"/>
              </w:rPr>
              <w:t>0.19 ms</w:t>
            </w:r>
          </w:p>
        </w:tc>
        <w:tc>
          <w:tcPr>
            <w:tcW w:type="dxa" w:w="1152"/>
            <w:vAlign w:val="top"/>
          </w:tcPr>
          <w:p>
            <w:pPr>
              <w:spacing w:after="0"/>
            </w:pPr>
            <w:r/>
            <w:r>
              <w:rPr>
                <w:rFonts w:ascii="Aptos" w:hAnsi="Aptos" w:eastAsia="Aptos"/>
                <w:b w:val="0"/>
                <w:sz w:val="18"/>
              </w:rPr>
              <w:t>0.30 ms</w:t>
            </w:r>
          </w:p>
        </w:tc>
        <w:tc>
          <w:tcPr>
            <w:tcW w:type="dxa" w:w="2880"/>
            <w:vAlign w:val="top"/>
          </w:tcPr>
          <w:p>
            <w:pPr>
              <w:spacing w:after="0"/>
            </w:pPr>
            <w:r/>
            <w:r>
              <w:rPr>
                <w:rFonts w:ascii="Aptos" w:hAnsi="Aptos" w:eastAsia="Aptos"/>
                <w:b w:val="0"/>
                <w:sz w:val="18"/>
              </w:rPr>
              <w:t>Good steady gas; low scattering and lower pump burden.</w:t>
            </w:r>
          </w:p>
        </w:tc>
      </w:tr>
      <w:tr>
        <w:tc>
          <w:tcPr>
            <w:tcW w:type="dxa" w:w="1152"/>
            <w:vAlign w:val="top"/>
          </w:tcPr>
          <w:p>
            <w:pPr>
              <w:spacing w:after="0"/>
            </w:pPr>
            <w:r/>
            <w:r>
              <w:rPr>
                <w:rFonts w:ascii="Aptos" w:hAnsi="Aptos" w:eastAsia="Aptos"/>
                <w:b w:val="0"/>
                <w:sz w:val="18"/>
              </w:rPr>
              <w:t>Kr</w:t>
            </w:r>
          </w:p>
        </w:tc>
        <w:tc>
          <w:tcPr>
            <w:tcW w:type="dxa" w:w="1872"/>
            <w:vAlign w:val="top"/>
          </w:tcPr>
          <w:p>
            <w:pPr>
              <w:spacing w:after="0"/>
            </w:pPr>
            <w:r/>
            <w:r>
              <w:rPr>
                <w:rFonts w:ascii="Aptos" w:hAnsi="Aptos" w:eastAsia="Aptos"/>
                <w:b w:val="0"/>
                <w:sz w:val="18"/>
              </w:rPr>
              <w:t>1e-19 m^2</w:t>
            </w:r>
          </w:p>
        </w:tc>
        <w:tc>
          <w:tcPr>
            <w:tcW w:type="dxa" w:w="1584"/>
            <w:vAlign w:val="top"/>
          </w:tcPr>
          <w:p>
            <w:pPr>
              <w:spacing w:after="0"/>
            </w:pPr>
            <w:r/>
            <w:r>
              <w:rPr>
                <w:rFonts w:ascii="Aptos" w:hAnsi="Aptos" w:eastAsia="Aptos"/>
                <w:b w:val="0"/>
                <w:sz w:val="18"/>
              </w:rPr>
              <w:t>0.013 ms</w:t>
            </w:r>
          </w:p>
        </w:tc>
        <w:tc>
          <w:tcPr>
            <w:tcW w:type="dxa" w:w="1152"/>
            <w:vAlign w:val="top"/>
          </w:tcPr>
          <w:p>
            <w:pPr>
              <w:spacing w:after="0"/>
            </w:pPr>
            <w:r/>
            <w:r>
              <w:rPr>
                <w:rFonts w:ascii="Aptos" w:hAnsi="Aptos" w:eastAsia="Aptos"/>
                <w:b w:val="0"/>
                <w:sz w:val="18"/>
              </w:rPr>
              <w:t>0.030 ms</w:t>
            </w:r>
          </w:p>
        </w:tc>
        <w:tc>
          <w:tcPr>
            <w:tcW w:type="dxa" w:w="1152"/>
            <w:vAlign w:val="top"/>
          </w:tcPr>
          <w:p>
            <w:pPr>
              <w:spacing w:after="0"/>
            </w:pPr>
            <w:r/>
            <w:r>
              <w:rPr>
                <w:rFonts w:ascii="Aptos" w:hAnsi="Aptos" w:eastAsia="Aptos"/>
                <w:b w:val="0"/>
                <w:sz w:val="18"/>
              </w:rPr>
              <w:t>0.039 ms</w:t>
            </w:r>
          </w:p>
        </w:tc>
        <w:tc>
          <w:tcPr>
            <w:tcW w:type="dxa" w:w="1152"/>
            <w:vAlign w:val="top"/>
          </w:tcPr>
          <w:p>
            <w:pPr>
              <w:spacing w:after="0"/>
            </w:pPr>
            <w:r/>
            <w:r>
              <w:rPr>
                <w:rFonts w:ascii="Aptos" w:hAnsi="Aptos" w:eastAsia="Aptos"/>
                <w:b w:val="0"/>
                <w:sz w:val="18"/>
              </w:rPr>
              <w:t>0.060 ms</w:t>
            </w:r>
          </w:p>
        </w:tc>
        <w:tc>
          <w:tcPr>
            <w:tcW w:type="dxa" w:w="2880"/>
            <w:vAlign w:val="top"/>
          </w:tcPr>
          <w:p>
            <w:pPr>
              <w:spacing w:after="0"/>
            </w:pPr>
            <w:r/>
            <w:r>
              <w:rPr>
                <w:rFonts w:ascii="Aptos" w:hAnsi="Aptos" w:eastAsia="Aptos"/>
                <w:b w:val="0"/>
                <w:sz w:val="18"/>
              </w:rPr>
              <w:t>Fast-start gas; use sparingly because of scattering and gas load.</w:t>
            </w:r>
          </w:p>
        </w:tc>
      </w:tr>
    </w:tbl>
    <w:p/>
    <w:p>
      <w:r>
        <w:drawing>
          <wp:inline xmlns:a="http://schemas.openxmlformats.org/drawingml/2006/main" xmlns:pic="http://schemas.openxmlformats.org/drawingml/2006/picture">
            <wp:extent cx="5852160" cy="4701524"/>
            <wp:docPr id="1" name="Picture 1"/>
            <wp:cNvGraphicFramePr>
              <a:graphicFrameLocks noChangeAspect="1"/>
            </wp:cNvGraphicFramePr>
            <a:graphic>
              <a:graphicData uri="http://schemas.openxmlformats.org/drawingml/2006/picture">
                <pic:pic>
                  <pic:nvPicPr>
                    <pic:cNvPr id="0" name="neutralization_transient.png"/>
                    <pic:cNvPicPr/>
                  </pic:nvPicPr>
                  <pic:blipFill>
                    <a:blip r:embed="rId9"/>
                    <a:stretch>
                      <a:fillRect/>
                    </a:stretch>
                  </pic:blipFill>
                  <pic:spPr>
                    <a:xfrm>
                      <a:off x="0" y="0"/>
                      <a:ext cx="5852160" cy="4701524"/>
                    </a:xfrm>
                    <a:prstGeom prst="rect"/>
                  </pic:spPr>
                </pic:pic>
              </a:graphicData>
            </a:graphic>
          </wp:inline>
        </w:drawing>
      </w:r>
    </w:p>
    <w:p>
      <w:pPr>
        <w:pStyle w:val="CaptionCustom"/>
      </w:pPr>
      <w:r>
        <w:t>Figure 1. Reconstructed neutralization and effective-perveance transient using the simple source-note model: f_ss = 0.90 for H2, f_ss = 0.95 for Kr, tau_H2 = 0.064 ms, tau_Kr = 0.013 ms at 30 keV and 1e-5 torr.</w:t>
      </w:r>
    </w:p>
    <w:p>
      <w:pPr>
        <w:pStyle w:val="Heading2"/>
      </w:pPr>
      <w:r>
        <w:t>4.4 Steady-state neutralization fraction</w:t>
      </w:r>
    </w:p>
    <w:p>
      <w:r>
        <w:t>The time constant describes how fast plasma is created. The final neutralization fraction f_ss is set by a balance between ionization production and losses to the walls, electrodes, apertures, and downstream regions. A simple rate equation used in the supplied notes is:</w:t>
      </w:r>
    </w:p>
    <w:p>
      <w:pPr>
        <w:pStyle w:val="FormulaBlock"/>
      </w:pPr>
      <w:r>
        <w:t>d n_e / dt = S - nu_loss n_e</w:t>
      </w:r>
    </w:p>
    <w:p>
      <w:r>
        <w:t>If the solenoid and end electrodes suppress electron loss sufficiently, f_ss values of 0.9-0.99 are plausible design targets. However, f_ss must be measured and simulated rather than assumed. It can decrease if electrons are over-cleared by biased structures, lost through apertures, heated by RF fields, or transported downstream into the inflector region.</w:t>
      </w:r>
    </w:p>
    <w:p>
      <w:pPr>
        <w:pStyle w:val="Heading2"/>
      </w:pPr>
      <w:r>
        <w:t>4.5 Effective perveance reduction and envelope shrinkage</w:t>
      </w:r>
    </w:p>
    <w:p>
      <w:r>
        <w:t>The simplest and most important design formula is the effective perveance scaling:</w:t>
      </w:r>
    </w:p>
    <w:p>
      <w:pPr>
        <w:pStyle w:val="FormulaBlock"/>
      </w:pPr>
      <w:r>
        <w:t>K_eff = (1 - f) K</w:t>
      </w:r>
    </w:p>
    <w:p>
      <w:r>
        <w:t>In a space-charge-dominated matched-envelope picture, the envelope size and divergence scale roughly as sqrt(1 - f) relative to the unneutralized case. This is not a substitute for self-consistent tracking, but it is a useful design estimate. The corresponding phase-space acceptance gain can scale approximately as 1/sqrt(1 - f) until hard aperture and nonlinear inflector effects dominate.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fill="D9EAF7"/>
            <w:vAlign w:val="center"/>
          </w:tcPr>
          <w:p>
            <w:pPr>
              <w:spacing w:after="0"/>
            </w:pPr>
            <w:r/>
            <w:r>
              <w:rPr>
                <w:rFonts w:ascii="Aptos" w:hAnsi="Aptos" w:eastAsia="Aptos"/>
                <w:b/>
                <w:sz w:val="18"/>
              </w:rPr>
              <w:t>Neutralization fraction f</w:t>
            </w:r>
          </w:p>
        </w:tc>
        <w:tc>
          <w:tcPr>
            <w:tcW w:type="dxa" w:w="1584"/>
            <w:shd w:fill="D9EAF7"/>
            <w:vAlign w:val="center"/>
          </w:tcPr>
          <w:p>
            <w:pPr>
              <w:spacing w:after="0"/>
            </w:pPr>
            <w:r/>
            <w:r>
              <w:rPr>
                <w:rFonts w:ascii="Aptos" w:hAnsi="Aptos" w:eastAsia="Aptos"/>
                <w:b/>
                <w:sz w:val="18"/>
              </w:rPr>
              <w:t>K_eff/K</w:t>
            </w:r>
          </w:p>
        </w:tc>
        <w:tc>
          <w:tcPr>
            <w:tcW w:type="dxa" w:w="3168"/>
            <w:shd w:fill="D9EAF7"/>
            <w:vAlign w:val="center"/>
          </w:tcPr>
          <w:p>
            <w:pPr>
              <w:spacing w:after="0"/>
            </w:pPr>
            <w:r/>
            <w:r>
              <w:rPr>
                <w:rFonts w:ascii="Aptos" w:hAnsi="Aptos" w:eastAsia="Aptos"/>
                <w:b/>
                <w:sz w:val="18"/>
              </w:rPr>
              <w:t>Envelope/divergence scale sqrt(1-f)</w:t>
            </w:r>
          </w:p>
        </w:tc>
        <w:tc>
          <w:tcPr>
            <w:tcW w:type="dxa" w:w="2880"/>
            <w:shd w:fill="D9EAF7"/>
            <w:vAlign w:val="center"/>
          </w:tcPr>
          <w:p>
            <w:pPr>
              <w:spacing w:after="0"/>
            </w:pPr>
            <w:r/>
            <w:r>
              <w:rPr>
                <w:rFonts w:ascii="Aptos" w:hAnsi="Aptos" w:eastAsia="Aptos"/>
                <w:b/>
                <w:sz w:val="18"/>
              </w:rPr>
              <w:t>Approx. gain 1/sqrt(1-f)</w:t>
            </w:r>
          </w:p>
        </w:tc>
      </w:tr>
      <w:tr>
        <w:tc>
          <w:tcPr>
            <w:tcW w:type="dxa" w:w="2448"/>
            <w:vAlign w:val="top"/>
          </w:tcPr>
          <w:p>
            <w:pPr>
              <w:spacing w:after="0"/>
            </w:pPr>
            <w:r/>
            <w:r>
              <w:rPr>
                <w:rFonts w:ascii="Aptos" w:hAnsi="Aptos" w:eastAsia="Aptos"/>
                <w:b w:val="0"/>
                <w:sz w:val="18"/>
              </w:rPr>
              <w:t>0.70</w:t>
            </w:r>
          </w:p>
        </w:tc>
        <w:tc>
          <w:tcPr>
            <w:tcW w:type="dxa" w:w="1584"/>
            <w:vAlign w:val="top"/>
          </w:tcPr>
          <w:p>
            <w:pPr>
              <w:spacing w:after="0"/>
            </w:pPr>
            <w:r/>
            <w:r>
              <w:rPr>
                <w:rFonts w:ascii="Aptos" w:hAnsi="Aptos" w:eastAsia="Aptos"/>
                <w:b w:val="0"/>
                <w:sz w:val="18"/>
              </w:rPr>
              <w:t>0.30</w:t>
            </w:r>
          </w:p>
        </w:tc>
        <w:tc>
          <w:tcPr>
            <w:tcW w:type="dxa" w:w="3168"/>
            <w:vAlign w:val="top"/>
          </w:tcPr>
          <w:p>
            <w:pPr>
              <w:spacing w:after="0"/>
            </w:pPr>
            <w:r/>
            <w:r>
              <w:rPr>
                <w:rFonts w:ascii="Aptos" w:hAnsi="Aptos" w:eastAsia="Aptos"/>
                <w:b w:val="0"/>
                <w:sz w:val="18"/>
              </w:rPr>
              <w:t>0.548</w:t>
            </w:r>
          </w:p>
        </w:tc>
        <w:tc>
          <w:tcPr>
            <w:tcW w:type="dxa" w:w="2880"/>
            <w:vAlign w:val="top"/>
          </w:tcPr>
          <w:p>
            <w:pPr>
              <w:spacing w:after="0"/>
            </w:pPr>
            <w:r/>
            <w:r>
              <w:rPr>
                <w:rFonts w:ascii="Aptos" w:hAnsi="Aptos" w:eastAsia="Aptos"/>
                <w:b w:val="0"/>
                <w:sz w:val="18"/>
              </w:rPr>
              <w:t>1.83</w:t>
            </w:r>
          </w:p>
        </w:tc>
      </w:tr>
      <w:tr>
        <w:tc>
          <w:tcPr>
            <w:tcW w:type="dxa" w:w="2448"/>
            <w:vAlign w:val="top"/>
          </w:tcPr>
          <w:p>
            <w:pPr>
              <w:spacing w:after="0"/>
            </w:pPr>
            <w:r/>
            <w:r>
              <w:rPr>
                <w:rFonts w:ascii="Aptos" w:hAnsi="Aptos" w:eastAsia="Aptos"/>
                <w:b w:val="0"/>
                <w:sz w:val="18"/>
              </w:rPr>
              <w:t>0.80</w:t>
            </w:r>
          </w:p>
        </w:tc>
        <w:tc>
          <w:tcPr>
            <w:tcW w:type="dxa" w:w="1584"/>
            <w:vAlign w:val="top"/>
          </w:tcPr>
          <w:p>
            <w:pPr>
              <w:spacing w:after="0"/>
            </w:pPr>
            <w:r/>
            <w:r>
              <w:rPr>
                <w:rFonts w:ascii="Aptos" w:hAnsi="Aptos" w:eastAsia="Aptos"/>
                <w:b w:val="0"/>
                <w:sz w:val="18"/>
              </w:rPr>
              <w:t>0.20</w:t>
            </w:r>
          </w:p>
        </w:tc>
        <w:tc>
          <w:tcPr>
            <w:tcW w:type="dxa" w:w="3168"/>
            <w:vAlign w:val="top"/>
          </w:tcPr>
          <w:p>
            <w:pPr>
              <w:spacing w:after="0"/>
            </w:pPr>
            <w:r/>
            <w:r>
              <w:rPr>
                <w:rFonts w:ascii="Aptos" w:hAnsi="Aptos" w:eastAsia="Aptos"/>
                <w:b w:val="0"/>
                <w:sz w:val="18"/>
              </w:rPr>
              <w:t>0.447</w:t>
            </w:r>
          </w:p>
        </w:tc>
        <w:tc>
          <w:tcPr>
            <w:tcW w:type="dxa" w:w="2880"/>
            <w:vAlign w:val="top"/>
          </w:tcPr>
          <w:p>
            <w:pPr>
              <w:spacing w:after="0"/>
            </w:pPr>
            <w:r/>
            <w:r>
              <w:rPr>
                <w:rFonts w:ascii="Aptos" w:hAnsi="Aptos" w:eastAsia="Aptos"/>
                <w:b w:val="0"/>
                <w:sz w:val="18"/>
              </w:rPr>
              <w:t>2.24</w:t>
            </w:r>
          </w:p>
        </w:tc>
      </w:tr>
      <w:tr>
        <w:tc>
          <w:tcPr>
            <w:tcW w:type="dxa" w:w="2448"/>
            <w:vAlign w:val="top"/>
          </w:tcPr>
          <w:p>
            <w:pPr>
              <w:spacing w:after="0"/>
            </w:pPr>
            <w:r/>
            <w:r>
              <w:rPr>
                <w:rFonts w:ascii="Aptos" w:hAnsi="Aptos" w:eastAsia="Aptos"/>
                <w:b w:val="0"/>
                <w:sz w:val="18"/>
              </w:rPr>
              <w:t>0.85</w:t>
            </w:r>
          </w:p>
        </w:tc>
        <w:tc>
          <w:tcPr>
            <w:tcW w:type="dxa" w:w="1584"/>
            <w:vAlign w:val="top"/>
          </w:tcPr>
          <w:p>
            <w:pPr>
              <w:spacing w:after="0"/>
            </w:pPr>
            <w:r/>
            <w:r>
              <w:rPr>
                <w:rFonts w:ascii="Aptos" w:hAnsi="Aptos" w:eastAsia="Aptos"/>
                <w:b w:val="0"/>
                <w:sz w:val="18"/>
              </w:rPr>
              <w:t>0.15</w:t>
            </w:r>
          </w:p>
        </w:tc>
        <w:tc>
          <w:tcPr>
            <w:tcW w:type="dxa" w:w="3168"/>
            <w:vAlign w:val="top"/>
          </w:tcPr>
          <w:p>
            <w:pPr>
              <w:spacing w:after="0"/>
            </w:pPr>
            <w:r/>
            <w:r>
              <w:rPr>
                <w:rFonts w:ascii="Aptos" w:hAnsi="Aptos" w:eastAsia="Aptos"/>
                <w:b w:val="0"/>
                <w:sz w:val="18"/>
              </w:rPr>
              <w:t>0.387</w:t>
            </w:r>
          </w:p>
        </w:tc>
        <w:tc>
          <w:tcPr>
            <w:tcW w:type="dxa" w:w="2880"/>
            <w:vAlign w:val="top"/>
          </w:tcPr>
          <w:p>
            <w:pPr>
              <w:spacing w:after="0"/>
            </w:pPr>
            <w:r/>
            <w:r>
              <w:rPr>
                <w:rFonts w:ascii="Aptos" w:hAnsi="Aptos" w:eastAsia="Aptos"/>
                <w:b w:val="0"/>
                <w:sz w:val="18"/>
              </w:rPr>
              <w:t>2.58</w:t>
            </w:r>
          </w:p>
        </w:tc>
      </w:tr>
      <w:tr>
        <w:tc>
          <w:tcPr>
            <w:tcW w:type="dxa" w:w="2448"/>
            <w:vAlign w:val="top"/>
          </w:tcPr>
          <w:p>
            <w:pPr>
              <w:spacing w:after="0"/>
            </w:pPr>
            <w:r/>
            <w:r>
              <w:rPr>
                <w:rFonts w:ascii="Aptos" w:hAnsi="Aptos" w:eastAsia="Aptos"/>
                <w:b w:val="0"/>
                <w:sz w:val="18"/>
              </w:rPr>
              <w:t>0.90</w:t>
            </w:r>
          </w:p>
        </w:tc>
        <w:tc>
          <w:tcPr>
            <w:tcW w:type="dxa" w:w="1584"/>
            <w:vAlign w:val="top"/>
          </w:tcPr>
          <w:p>
            <w:pPr>
              <w:spacing w:after="0"/>
            </w:pPr>
            <w:r/>
            <w:r>
              <w:rPr>
                <w:rFonts w:ascii="Aptos" w:hAnsi="Aptos" w:eastAsia="Aptos"/>
                <w:b w:val="0"/>
                <w:sz w:val="18"/>
              </w:rPr>
              <w:t>0.10</w:t>
            </w:r>
          </w:p>
        </w:tc>
        <w:tc>
          <w:tcPr>
            <w:tcW w:type="dxa" w:w="3168"/>
            <w:vAlign w:val="top"/>
          </w:tcPr>
          <w:p>
            <w:pPr>
              <w:spacing w:after="0"/>
            </w:pPr>
            <w:r/>
            <w:r>
              <w:rPr>
                <w:rFonts w:ascii="Aptos" w:hAnsi="Aptos" w:eastAsia="Aptos"/>
                <w:b w:val="0"/>
                <w:sz w:val="18"/>
              </w:rPr>
              <w:t>0.316</w:t>
            </w:r>
          </w:p>
        </w:tc>
        <w:tc>
          <w:tcPr>
            <w:tcW w:type="dxa" w:w="2880"/>
            <w:vAlign w:val="top"/>
          </w:tcPr>
          <w:p>
            <w:pPr>
              <w:spacing w:after="0"/>
            </w:pPr>
            <w:r/>
            <w:r>
              <w:rPr>
                <w:rFonts w:ascii="Aptos" w:hAnsi="Aptos" w:eastAsia="Aptos"/>
                <w:b w:val="0"/>
                <w:sz w:val="18"/>
              </w:rPr>
              <w:t>3.16</w:t>
            </w:r>
          </w:p>
        </w:tc>
      </w:tr>
      <w:tr>
        <w:tc>
          <w:tcPr>
            <w:tcW w:type="dxa" w:w="2448"/>
            <w:vAlign w:val="top"/>
          </w:tcPr>
          <w:p>
            <w:pPr>
              <w:spacing w:after="0"/>
            </w:pPr>
            <w:r/>
            <w:r>
              <w:rPr>
                <w:rFonts w:ascii="Aptos" w:hAnsi="Aptos" w:eastAsia="Aptos"/>
                <w:b w:val="0"/>
                <w:sz w:val="18"/>
              </w:rPr>
              <w:t>0.95</w:t>
            </w:r>
          </w:p>
        </w:tc>
        <w:tc>
          <w:tcPr>
            <w:tcW w:type="dxa" w:w="1584"/>
            <w:vAlign w:val="top"/>
          </w:tcPr>
          <w:p>
            <w:pPr>
              <w:spacing w:after="0"/>
            </w:pPr>
            <w:r/>
            <w:r>
              <w:rPr>
                <w:rFonts w:ascii="Aptos" w:hAnsi="Aptos" w:eastAsia="Aptos"/>
                <w:b w:val="0"/>
                <w:sz w:val="18"/>
              </w:rPr>
              <w:t>0.05</w:t>
            </w:r>
          </w:p>
        </w:tc>
        <w:tc>
          <w:tcPr>
            <w:tcW w:type="dxa" w:w="3168"/>
            <w:vAlign w:val="top"/>
          </w:tcPr>
          <w:p>
            <w:pPr>
              <w:spacing w:after="0"/>
            </w:pPr>
            <w:r/>
            <w:r>
              <w:rPr>
                <w:rFonts w:ascii="Aptos" w:hAnsi="Aptos" w:eastAsia="Aptos"/>
                <w:b w:val="0"/>
                <w:sz w:val="18"/>
              </w:rPr>
              <w:t>0.224</w:t>
            </w:r>
          </w:p>
        </w:tc>
        <w:tc>
          <w:tcPr>
            <w:tcW w:type="dxa" w:w="2880"/>
            <w:vAlign w:val="top"/>
          </w:tcPr>
          <w:p>
            <w:pPr>
              <w:spacing w:after="0"/>
            </w:pPr>
            <w:r/>
            <w:r>
              <w:rPr>
                <w:rFonts w:ascii="Aptos" w:hAnsi="Aptos" w:eastAsia="Aptos"/>
                <w:b w:val="0"/>
                <w:sz w:val="18"/>
              </w:rPr>
              <w:t>4.47</w:t>
            </w:r>
          </w:p>
        </w:tc>
      </w:tr>
    </w:tbl>
    <w:p/>
    <w:p>
      <w:pPr>
        <w:pStyle w:val="Heading2"/>
      </w:pPr>
      <w:r>
        <w:t>4.6 Electron magnetization and Debye shielding</w:t>
      </w:r>
    </w:p>
    <w:p>
      <w:r>
        <w:t>The supplied notes estimate that at B = 0.1-0.2 T and electron temperature around 1 eV, the electron gyroradius is about 34-17 micrometers. This is much smaller than a 1-5 mm beam radius, so electrons are strongly magnetized and can remain near the beam column. At densities near 1e14 m^-3, the Debye length is estimated around 0.5 mm, smaller than the beam radius, which supports a quasi-neutral core. At higher beam current and density, the Debye length is even smaller.</w:t>
      </w:r>
    </w:p>
    <w:p>
      <w:pPr>
        <w:pStyle w:val="FormulaBlock"/>
      </w:pPr>
      <w:r>
        <w:t>omega_ce = e B / m_e</w:t>
      </w:r>
    </w:p>
    <w:p>
      <w:pPr>
        <w:pStyle w:val="FormulaBlock"/>
      </w:pPr>
      <w:r>
        <w:t>r_g,e = v_th,e / omega_ce</w:t>
      </w:r>
    </w:p>
    <w:p>
      <w:pPr>
        <w:pStyle w:val="FormulaBlock"/>
      </w:pPr>
      <w:r>
        <w:t>lambda_D = sqrt(epsilon_0 k_B T_e / (n_e e^2))</w:t>
      </w:r>
    </w:p>
    <w:p>
      <w:pPr>
        <w:pStyle w:val="Heading2"/>
      </w:pPr>
      <w:r>
        <w:t>4.7 Beam potential and end-electrode voltage scale</w:t>
      </w:r>
    </w:p>
    <w:p>
      <w:r>
        <w:t>For a uniform round DC beam, the center-to-edge electrostatic potential drop can be estimated as:</w:t>
      </w:r>
    </w:p>
    <w:p>
      <w:pPr>
        <w:pStyle w:val="FormulaBlock"/>
      </w:pPr>
      <w:r>
        <w:t>Delta Phi = I / (4 pi epsilon_0 beta c) = (I/I_A,p) (m_p c^2)/(beta e)</w:t>
      </w:r>
    </w:p>
    <w:p>
      <w:r>
        <w:t>At 30 keV, beta is about 0.008 and I_A,p is about 31.3 MA. The supplied estimates give Delta Phi about 3.8 V at 1 mA, 18.8 V at 5 mA, and 37.5 V at 10 mA. Adding a few electron-temperature units as margin gives a natural end-electrode voltage scale of order 10-60 V.</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pPr>
              <w:spacing w:after="0"/>
            </w:pPr>
            <w:r/>
            <w:r>
              <w:rPr>
                <w:rFonts w:ascii="Aptos" w:hAnsi="Aptos" w:eastAsia="Aptos"/>
                <w:b/>
                <w:sz w:val="18"/>
              </w:rPr>
              <w:t>Beam current</w:t>
            </w:r>
          </w:p>
        </w:tc>
        <w:tc>
          <w:tcPr>
            <w:tcW w:type="dxa" w:w="3456"/>
            <w:shd w:fill="D9EAF7"/>
            <w:vAlign w:val="center"/>
          </w:tcPr>
          <w:p>
            <w:pPr>
              <w:spacing w:after="0"/>
            </w:pPr>
            <w:r/>
            <w:r>
              <w:rPr>
                <w:rFonts w:ascii="Aptos" w:hAnsi="Aptos" w:eastAsia="Aptos"/>
                <w:b/>
                <w:sz w:val="18"/>
              </w:rPr>
              <w:t>Estimated beam potential Delta Phi</w:t>
            </w:r>
          </w:p>
        </w:tc>
        <w:tc>
          <w:tcPr>
            <w:tcW w:type="dxa" w:w="4320"/>
            <w:shd w:fill="D9EAF7"/>
            <w:vAlign w:val="center"/>
          </w:tcPr>
          <w:p>
            <w:pPr>
              <w:spacing w:after="0"/>
            </w:pPr>
            <w:r/>
            <w:r>
              <w:rPr>
                <w:rFonts w:ascii="Aptos" w:hAnsi="Aptos" w:eastAsia="Aptos"/>
                <w:b/>
                <w:sz w:val="18"/>
              </w:rPr>
              <w:t>Suggested electron-confining end barrier</w:t>
            </w:r>
          </w:p>
        </w:tc>
      </w:tr>
      <w:tr>
        <w:tc>
          <w:tcPr>
            <w:tcW w:type="dxa" w:w="2160"/>
            <w:vAlign w:val="top"/>
          </w:tcPr>
          <w:p>
            <w:pPr>
              <w:spacing w:after="0"/>
            </w:pPr>
            <w:r/>
            <w:r>
              <w:rPr>
                <w:rFonts w:ascii="Aptos" w:hAnsi="Aptos" w:eastAsia="Aptos"/>
                <w:b w:val="0"/>
                <w:sz w:val="18"/>
              </w:rPr>
              <w:t>1 mA</w:t>
            </w:r>
          </w:p>
        </w:tc>
        <w:tc>
          <w:tcPr>
            <w:tcW w:type="dxa" w:w="3456"/>
            <w:vAlign w:val="top"/>
          </w:tcPr>
          <w:p>
            <w:pPr>
              <w:spacing w:after="0"/>
            </w:pPr>
            <w:r/>
            <w:r>
              <w:rPr>
                <w:rFonts w:ascii="Aptos" w:hAnsi="Aptos" w:eastAsia="Aptos"/>
                <w:b w:val="0"/>
                <w:sz w:val="18"/>
              </w:rPr>
              <w:t>~3.8 V</w:t>
            </w:r>
          </w:p>
        </w:tc>
        <w:tc>
          <w:tcPr>
            <w:tcW w:type="dxa" w:w="4320"/>
            <w:vAlign w:val="top"/>
          </w:tcPr>
          <w:p>
            <w:pPr>
              <w:spacing w:after="0"/>
            </w:pPr>
            <w:r/>
            <w:r>
              <w:rPr>
                <w:rFonts w:ascii="Aptos" w:hAnsi="Aptos" w:eastAsia="Aptos"/>
                <w:b w:val="0"/>
                <w:sz w:val="18"/>
              </w:rPr>
              <w:t>~10-15 V magnitude</w:t>
            </w:r>
          </w:p>
        </w:tc>
      </w:tr>
      <w:tr>
        <w:tc>
          <w:tcPr>
            <w:tcW w:type="dxa" w:w="2160"/>
            <w:vAlign w:val="top"/>
          </w:tcPr>
          <w:p>
            <w:pPr>
              <w:spacing w:after="0"/>
            </w:pPr>
            <w:r/>
            <w:r>
              <w:rPr>
                <w:rFonts w:ascii="Aptos" w:hAnsi="Aptos" w:eastAsia="Aptos"/>
                <w:b w:val="0"/>
                <w:sz w:val="18"/>
              </w:rPr>
              <w:t>5 mA</w:t>
            </w:r>
          </w:p>
        </w:tc>
        <w:tc>
          <w:tcPr>
            <w:tcW w:type="dxa" w:w="3456"/>
            <w:vAlign w:val="top"/>
          </w:tcPr>
          <w:p>
            <w:pPr>
              <w:spacing w:after="0"/>
            </w:pPr>
            <w:r/>
            <w:r>
              <w:rPr>
                <w:rFonts w:ascii="Aptos" w:hAnsi="Aptos" w:eastAsia="Aptos"/>
                <w:b w:val="0"/>
                <w:sz w:val="18"/>
              </w:rPr>
              <w:t>~18.8 V</w:t>
            </w:r>
          </w:p>
        </w:tc>
        <w:tc>
          <w:tcPr>
            <w:tcW w:type="dxa" w:w="4320"/>
            <w:vAlign w:val="top"/>
          </w:tcPr>
          <w:p>
            <w:pPr>
              <w:spacing w:after="0"/>
            </w:pPr>
            <w:r/>
            <w:r>
              <w:rPr>
                <w:rFonts w:ascii="Aptos" w:hAnsi="Aptos" w:eastAsia="Aptos"/>
                <w:b w:val="0"/>
                <w:sz w:val="18"/>
              </w:rPr>
              <w:t>~25-35 V magnitude</w:t>
            </w:r>
          </w:p>
        </w:tc>
      </w:tr>
      <w:tr>
        <w:tc>
          <w:tcPr>
            <w:tcW w:type="dxa" w:w="2160"/>
            <w:vAlign w:val="top"/>
          </w:tcPr>
          <w:p>
            <w:pPr>
              <w:spacing w:after="0"/>
            </w:pPr>
            <w:r/>
            <w:r>
              <w:rPr>
                <w:rFonts w:ascii="Aptos" w:hAnsi="Aptos" w:eastAsia="Aptos"/>
                <w:b w:val="0"/>
                <w:sz w:val="18"/>
              </w:rPr>
              <w:t>10 mA</w:t>
            </w:r>
          </w:p>
        </w:tc>
        <w:tc>
          <w:tcPr>
            <w:tcW w:type="dxa" w:w="3456"/>
            <w:vAlign w:val="top"/>
          </w:tcPr>
          <w:p>
            <w:pPr>
              <w:spacing w:after="0"/>
            </w:pPr>
            <w:r/>
            <w:r>
              <w:rPr>
                <w:rFonts w:ascii="Aptos" w:hAnsi="Aptos" w:eastAsia="Aptos"/>
                <w:b w:val="0"/>
                <w:sz w:val="18"/>
              </w:rPr>
              <w:t>~37.5 V</w:t>
            </w:r>
          </w:p>
        </w:tc>
        <w:tc>
          <w:tcPr>
            <w:tcW w:type="dxa" w:w="4320"/>
            <w:vAlign w:val="top"/>
          </w:tcPr>
          <w:p>
            <w:pPr>
              <w:spacing w:after="0"/>
            </w:pPr>
            <w:r/>
            <w:r>
              <w:rPr>
                <w:rFonts w:ascii="Aptos" w:hAnsi="Aptos" w:eastAsia="Aptos"/>
                <w:b w:val="0"/>
                <w:sz w:val="18"/>
              </w:rPr>
              <w:t>~45-60 V magnitude</w:t>
            </w:r>
          </w:p>
        </w:tc>
      </w:tr>
    </w:tbl>
    <w:p/>
    <w:p>
      <w:pPr>
        <w:pStyle w:val="NoteBox"/>
      </w:pPr>
      <w:r>
        <w:rPr>
          <w:b/>
        </w:rPr>
        <w:t xml:space="preserve">Important sign convention issue. </w:t>
      </w:r>
      <w:r>
        <w:t>One source specifies +5 to +30 V end-cup bias, while another specifies negative endcap bias for electron confinement. Under the usual grounded-pipe convention, negative endcaps repel electrons back into the plasma column and attract positive ions, whereas positive endcaps attract electrons and can increase electron loss. The final design should avoid ambiguous wording and specify the actual electrostatic potential profile: the end electrodes must form an axial electron-reflecting barrier while allowing positive-ion drainage. If the hardware uses a different reference polarity, the drawing and control screen should state this explicitly.</w:t>
      </w:r>
    </w:p>
    <w:p>
      <w:pPr>
        <w:pStyle w:val="Heading1"/>
      </w:pPr>
      <w:r>
        <w:t>5. Hydrogen and Krypton Gas Choice</w:t>
      </w:r>
    </w:p>
    <w:p>
      <w:r>
        <w:t>The source notes converge on a two-mode gas strategy. Use H2 as the baseline steady-state gas because it has relatively low scattering and is compatible with many hydrogen/proton front ends. Use Kr only when fast transient response is needed, especially for pulsed or ramped injection, because its larger ionization cross section reduces the neutralization time constant by approximately a factor of five at the same pressure.</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pPr>
              <w:spacing w:after="0"/>
            </w:pPr>
            <w:r/>
            <w:r>
              <w:rPr>
                <w:rFonts w:ascii="Aptos" w:hAnsi="Aptos" w:eastAsia="Aptos"/>
                <w:b/>
                <w:sz w:val="18"/>
              </w:rPr>
              <w:t>Criterion</w:t>
            </w:r>
          </w:p>
        </w:tc>
        <w:tc>
          <w:tcPr>
            <w:tcW w:type="dxa" w:w="3888"/>
            <w:shd w:fill="D9EAF7"/>
            <w:vAlign w:val="center"/>
          </w:tcPr>
          <w:p>
            <w:pPr>
              <w:spacing w:after="0"/>
            </w:pPr>
            <w:r/>
            <w:r>
              <w:rPr>
                <w:rFonts w:ascii="Aptos" w:hAnsi="Aptos" w:eastAsia="Aptos"/>
                <w:b/>
                <w:sz w:val="18"/>
              </w:rPr>
              <w:t>H2</w:t>
            </w:r>
          </w:p>
        </w:tc>
        <w:tc>
          <w:tcPr>
            <w:tcW w:type="dxa" w:w="3888"/>
            <w:shd w:fill="D9EAF7"/>
            <w:vAlign w:val="center"/>
          </w:tcPr>
          <w:p>
            <w:pPr>
              <w:spacing w:after="0"/>
            </w:pPr>
            <w:r/>
            <w:r>
              <w:rPr>
                <w:rFonts w:ascii="Aptos" w:hAnsi="Aptos" w:eastAsia="Aptos"/>
                <w:b/>
                <w:sz w:val="18"/>
              </w:rPr>
              <w:t>Kr</w:t>
            </w:r>
          </w:p>
        </w:tc>
      </w:tr>
      <w:tr>
        <w:tc>
          <w:tcPr>
            <w:tcW w:type="dxa" w:w="2592"/>
            <w:vAlign w:val="top"/>
          </w:tcPr>
          <w:p>
            <w:pPr>
              <w:spacing w:after="0"/>
            </w:pPr>
            <w:r/>
            <w:r>
              <w:rPr>
                <w:rFonts w:ascii="Aptos" w:hAnsi="Aptos" w:eastAsia="Aptos"/>
                <w:b w:val="0"/>
                <w:sz w:val="18"/>
              </w:rPr>
              <w:t>Ionization rate</w:t>
            </w:r>
          </w:p>
        </w:tc>
        <w:tc>
          <w:tcPr>
            <w:tcW w:type="dxa" w:w="3888"/>
            <w:vAlign w:val="top"/>
          </w:tcPr>
          <w:p>
            <w:pPr>
              <w:spacing w:after="0"/>
            </w:pPr>
            <w:r/>
            <w:r>
              <w:rPr>
                <w:rFonts w:ascii="Aptos" w:hAnsi="Aptos" w:eastAsia="Aptos"/>
                <w:b w:val="0"/>
                <w:sz w:val="18"/>
              </w:rPr>
              <w:t>Moderate; tau about 0.064 ms at 1e-5 torr and 30 keV.</w:t>
            </w:r>
          </w:p>
        </w:tc>
        <w:tc>
          <w:tcPr>
            <w:tcW w:type="dxa" w:w="3888"/>
            <w:vAlign w:val="top"/>
          </w:tcPr>
          <w:p>
            <w:pPr>
              <w:spacing w:after="0"/>
            </w:pPr>
            <w:r/>
            <w:r>
              <w:rPr>
                <w:rFonts w:ascii="Aptos" w:hAnsi="Aptos" w:eastAsia="Aptos"/>
                <w:b w:val="0"/>
                <w:sz w:val="18"/>
              </w:rPr>
              <w:t>High; tau about 0.013 ms under the same conditions.</w:t>
            </w:r>
          </w:p>
        </w:tc>
      </w:tr>
      <w:tr>
        <w:tc>
          <w:tcPr>
            <w:tcW w:type="dxa" w:w="2592"/>
            <w:vAlign w:val="top"/>
          </w:tcPr>
          <w:p>
            <w:pPr>
              <w:spacing w:after="0"/>
            </w:pPr>
            <w:r/>
            <w:r>
              <w:rPr>
                <w:rFonts w:ascii="Aptos" w:hAnsi="Aptos" w:eastAsia="Aptos"/>
                <w:b w:val="0"/>
                <w:sz w:val="18"/>
              </w:rPr>
              <w:t>Scattering and energy loss</w:t>
            </w:r>
          </w:p>
        </w:tc>
        <w:tc>
          <w:tcPr>
            <w:tcW w:type="dxa" w:w="3888"/>
            <w:vAlign w:val="top"/>
          </w:tcPr>
          <w:p>
            <w:pPr>
              <w:spacing w:after="0"/>
            </w:pPr>
            <w:r/>
            <w:r>
              <w:rPr>
                <w:rFonts w:ascii="Aptos" w:hAnsi="Aptos" w:eastAsia="Aptos"/>
                <w:b w:val="0"/>
                <w:sz w:val="18"/>
              </w:rPr>
              <w:t>Lowest-risk option for steady operation.</w:t>
            </w:r>
          </w:p>
        </w:tc>
        <w:tc>
          <w:tcPr>
            <w:tcW w:type="dxa" w:w="3888"/>
            <w:vAlign w:val="top"/>
          </w:tcPr>
          <w:p>
            <w:pPr>
              <w:spacing w:after="0"/>
            </w:pPr>
            <w:r/>
            <w:r>
              <w:rPr>
                <w:rFonts w:ascii="Aptos" w:hAnsi="Aptos" w:eastAsia="Aptos"/>
                <w:b w:val="0"/>
                <w:sz w:val="18"/>
              </w:rPr>
              <w:t>Higher scattering and energy-loss per unit pressure; keep partial pressure low or use pulsed.</w:t>
            </w:r>
          </w:p>
        </w:tc>
      </w:tr>
      <w:tr>
        <w:tc>
          <w:tcPr>
            <w:tcW w:type="dxa" w:w="2592"/>
            <w:vAlign w:val="top"/>
          </w:tcPr>
          <w:p>
            <w:pPr>
              <w:spacing w:after="0"/>
            </w:pPr>
            <w:r/>
            <w:r>
              <w:rPr>
                <w:rFonts w:ascii="Aptos" w:hAnsi="Aptos" w:eastAsia="Aptos"/>
                <w:b w:val="0"/>
                <w:sz w:val="18"/>
              </w:rPr>
              <w:t>Vacuum load</w:t>
            </w:r>
          </w:p>
        </w:tc>
        <w:tc>
          <w:tcPr>
            <w:tcW w:type="dxa" w:w="3888"/>
            <w:vAlign w:val="top"/>
          </w:tcPr>
          <w:p>
            <w:pPr>
              <w:spacing w:after="0"/>
            </w:pPr>
            <w:r/>
            <w:r>
              <w:rPr>
                <w:rFonts w:ascii="Aptos" w:hAnsi="Aptos" w:eastAsia="Aptos"/>
                <w:b w:val="0"/>
                <w:sz w:val="18"/>
              </w:rPr>
              <w:t>Generally easier to pump and less problematic.</w:t>
            </w:r>
          </w:p>
        </w:tc>
        <w:tc>
          <w:tcPr>
            <w:tcW w:type="dxa" w:w="3888"/>
            <w:vAlign w:val="top"/>
          </w:tcPr>
          <w:p>
            <w:pPr>
              <w:spacing w:after="0"/>
            </w:pPr>
            <w:r/>
            <w:r>
              <w:rPr>
                <w:rFonts w:ascii="Aptos" w:hAnsi="Aptos" w:eastAsia="Aptos"/>
                <w:b w:val="0"/>
                <w:sz w:val="18"/>
              </w:rPr>
              <w:t>Heavy noble gas; may be harder to remove locally and can increase gas load near inflector.</w:t>
            </w:r>
          </w:p>
        </w:tc>
      </w:tr>
      <w:tr>
        <w:tc>
          <w:tcPr>
            <w:tcW w:type="dxa" w:w="2592"/>
            <w:vAlign w:val="top"/>
          </w:tcPr>
          <w:p>
            <w:pPr>
              <w:spacing w:after="0"/>
            </w:pPr>
            <w:r/>
            <w:r>
              <w:rPr>
                <w:rFonts w:ascii="Aptos" w:hAnsi="Aptos" w:eastAsia="Aptos"/>
                <w:b w:val="0"/>
                <w:sz w:val="18"/>
              </w:rPr>
              <w:t>Operational role</w:t>
            </w:r>
          </w:p>
        </w:tc>
        <w:tc>
          <w:tcPr>
            <w:tcW w:type="dxa" w:w="3888"/>
            <w:vAlign w:val="top"/>
          </w:tcPr>
          <w:p>
            <w:pPr>
              <w:spacing w:after="0"/>
            </w:pPr>
            <w:r/>
            <w:r>
              <w:rPr>
                <w:rFonts w:ascii="Aptos" w:hAnsi="Aptos" w:eastAsia="Aptos"/>
                <w:b w:val="0"/>
                <w:sz w:val="18"/>
              </w:rPr>
              <w:t>Steady compensation and routine operation.</w:t>
            </w:r>
          </w:p>
        </w:tc>
        <w:tc>
          <w:tcPr>
            <w:tcW w:type="dxa" w:w="3888"/>
            <w:vAlign w:val="top"/>
          </w:tcPr>
          <w:p>
            <w:pPr>
              <w:spacing w:after="0"/>
            </w:pPr>
            <w:r/>
            <w:r>
              <w:rPr>
                <w:rFonts w:ascii="Aptos" w:hAnsi="Aptos" w:eastAsia="Aptos"/>
                <w:b w:val="0"/>
                <w:sz w:val="18"/>
              </w:rPr>
              <w:t>Fast start, commissioning, transient stabilization, and diagnostic scans.</w:t>
            </w:r>
          </w:p>
        </w:tc>
      </w:tr>
      <w:tr>
        <w:tc>
          <w:tcPr>
            <w:tcW w:type="dxa" w:w="2592"/>
            <w:vAlign w:val="top"/>
          </w:tcPr>
          <w:p>
            <w:pPr>
              <w:spacing w:after="0"/>
            </w:pPr>
            <w:r/>
            <w:r>
              <w:rPr>
                <w:rFonts w:ascii="Aptos" w:hAnsi="Aptos" w:eastAsia="Aptos"/>
                <w:b w:val="0"/>
                <w:sz w:val="18"/>
              </w:rPr>
              <w:t>Recommended pressure mode</w:t>
            </w:r>
          </w:p>
        </w:tc>
        <w:tc>
          <w:tcPr>
            <w:tcW w:type="dxa" w:w="3888"/>
            <w:vAlign w:val="top"/>
          </w:tcPr>
          <w:p>
            <w:pPr>
              <w:spacing w:after="0"/>
            </w:pPr>
            <w:r/>
            <w:r>
              <w:rPr>
                <w:rFonts w:ascii="Aptos" w:hAnsi="Aptos" w:eastAsia="Aptos"/>
                <w:b w:val="0"/>
                <w:sz w:val="18"/>
              </w:rPr>
              <w:t>Around 1e-5 torr local cell, subject to tank vacuum.</w:t>
            </w:r>
          </w:p>
        </w:tc>
        <w:tc>
          <w:tcPr>
            <w:tcW w:type="dxa" w:w="3888"/>
            <w:vAlign w:val="top"/>
          </w:tcPr>
          <w:p>
            <w:pPr>
              <w:spacing w:after="0"/>
            </w:pPr>
            <w:r/>
            <w:r>
              <w:rPr>
                <w:rFonts w:ascii="Aptos" w:hAnsi="Aptos" w:eastAsia="Aptos"/>
                <w:b w:val="0"/>
                <w:sz w:val="18"/>
              </w:rPr>
              <w:t>Few x 1e-6 torr partial pressure, or 1e-5 torr Kr-only during commissioning tests.</w:t>
            </w:r>
          </w:p>
        </w:tc>
      </w:tr>
    </w:tbl>
    <w:p/>
    <w:p>
      <w:r>
        <w:t>For the IPAC presentation and proposal framing, the safest claim is not that Kr always improves final transmission, but that Kr improves the build-up transient and can stabilize pulsed or ramped operation. The final steady-state neutralization depends on confinement, loss rates, plasma potential, downstream apertures, and the machine tune. H2 should remain the default steady gas unless measurements show that Kr is needed continuously.</w:t>
      </w:r>
    </w:p>
    <w:p>
      <w:pPr>
        <w:pStyle w:val="Heading1"/>
      </w:pPr>
      <w:r>
        <w:t>6. Engineering Summary of the Plasma-Column Module</w:t>
      </w:r>
    </w:p>
    <w:p>
      <w:r>
        <w:t>The module specification in the supplied hardware note can be consolidated into the following engineering concept. The module should be short enough to be inserted between the final solenoid and inflector, but long enough to provide a controlled gas and magnetic-field environment. It should include local gas injection, differential pumping, low-voltage electrodes, beam diagnostics, vacuum diagnostics, and interlocks tied to the cyclotron tank and inflector HV.</w:t>
      </w:r>
    </w:p>
    <w:p>
      <w:pPr>
        <w:pStyle w:val="Heading2"/>
      </w:pPr>
      <w:r>
        <w:t>6.1 Mechanical and magnetic design</w:t>
      </w:r>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Pr>
          <w:p>
            <w:pPr>
              <w:spacing w:after="0"/>
            </w:pPr>
            <w:r/>
            <w:r>
              <w:rPr>
                <w:rFonts w:ascii="Aptos" w:hAnsi="Aptos" w:eastAsia="Aptos"/>
                <w:b/>
                <w:sz w:val="18"/>
              </w:rPr>
              <w:t>Item</w:t>
            </w:r>
          </w:p>
        </w:tc>
        <w:tc>
          <w:tcPr>
            <w:tcW w:type="dxa" w:w="7920"/>
            <w:shd w:fill="D9EAF7"/>
            <w:vAlign w:val="center"/>
          </w:tcPr>
          <w:p>
            <w:pPr>
              <w:spacing w:after="0"/>
            </w:pPr>
            <w:r/>
            <w:r>
              <w:rPr>
                <w:rFonts w:ascii="Aptos" w:hAnsi="Aptos" w:eastAsia="Aptos"/>
                <w:b/>
                <w:sz w:val="18"/>
              </w:rPr>
              <w:t>Suggested specification</w:t>
            </w:r>
          </w:p>
        </w:tc>
      </w:tr>
      <w:tr>
        <w:tc>
          <w:tcPr>
            <w:tcW w:type="dxa" w:w="2592"/>
            <w:vAlign w:val="top"/>
          </w:tcPr>
          <w:p>
            <w:pPr>
              <w:spacing w:after="0"/>
            </w:pPr>
            <w:r/>
            <w:r>
              <w:rPr>
                <w:rFonts w:ascii="Aptos" w:hAnsi="Aptos" w:eastAsia="Aptos"/>
                <w:b w:val="0"/>
                <w:sz w:val="18"/>
              </w:rPr>
              <w:t>Overall length</w:t>
            </w:r>
          </w:p>
        </w:tc>
        <w:tc>
          <w:tcPr>
            <w:tcW w:type="dxa" w:w="7920"/>
            <w:vAlign w:val="top"/>
          </w:tcPr>
          <w:p>
            <w:pPr>
              <w:spacing w:after="0"/>
            </w:pPr>
            <w:r/>
            <w:r>
              <w:rPr>
                <w:rFonts w:ascii="Aptos" w:hAnsi="Aptos" w:eastAsia="Aptos"/>
                <w:b w:val="0"/>
                <w:sz w:val="18"/>
              </w:rPr>
              <w:t>About 260 mm flange-to-flange, supporting active column lengths of 100, 200, or 300 mm using spacer rings.</w:t>
            </w:r>
          </w:p>
        </w:tc>
      </w:tr>
      <w:tr>
        <w:tc>
          <w:tcPr>
            <w:tcW w:type="dxa" w:w="2592"/>
            <w:vAlign w:val="top"/>
          </w:tcPr>
          <w:p>
            <w:pPr>
              <w:spacing w:after="0"/>
            </w:pPr>
            <w:r/>
            <w:r>
              <w:rPr>
                <w:rFonts w:ascii="Aptos" w:hAnsi="Aptos" w:eastAsia="Aptos"/>
                <w:b w:val="0"/>
                <w:sz w:val="18"/>
              </w:rPr>
              <w:t>Beam aperture</w:t>
            </w:r>
          </w:p>
        </w:tc>
        <w:tc>
          <w:tcPr>
            <w:tcW w:type="dxa" w:w="7920"/>
            <w:vAlign w:val="top"/>
          </w:tcPr>
          <w:p>
            <w:pPr>
              <w:spacing w:after="0"/>
            </w:pPr>
            <w:r/>
            <w:r>
              <w:rPr>
                <w:rFonts w:ascii="Aptos" w:hAnsi="Aptos" w:eastAsia="Aptos"/>
                <w:b w:val="0"/>
                <w:sz w:val="18"/>
              </w:rPr>
              <w:t>Clear ID &gt;= 16 mm; recommended 20 mm smooth nonmagnetic SS 316L or Al 6061-T6 beam tube; low roughness and no sharp internal edges.</w:t>
            </w:r>
          </w:p>
        </w:tc>
      </w:tr>
      <w:tr>
        <w:tc>
          <w:tcPr>
            <w:tcW w:type="dxa" w:w="2592"/>
            <w:vAlign w:val="top"/>
          </w:tcPr>
          <w:p>
            <w:pPr>
              <w:spacing w:after="0"/>
            </w:pPr>
            <w:r/>
            <w:r>
              <w:rPr>
                <w:rFonts w:ascii="Aptos" w:hAnsi="Aptos" w:eastAsia="Aptos"/>
                <w:b w:val="0"/>
                <w:sz w:val="18"/>
              </w:rPr>
              <w:t>Solenoid</w:t>
            </w:r>
          </w:p>
        </w:tc>
        <w:tc>
          <w:tcPr>
            <w:tcW w:type="dxa" w:w="7920"/>
            <w:vAlign w:val="top"/>
          </w:tcPr>
          <w:p>
            <w:pPr>
              <w:spacing w:after="0"/>
            </w:pPr>
            <w:r/>
            <w:r>
              <w:rPr>
                <w:rFonts w:ascii="Aptos" w:hAnsi="Aptos" w:eastAsia="Aptos"/>
                <w:b w:val="0"/>
                <w:sz w:val="18"/>
              </w:rPr>
              <w:t>Water-cooled, B_z = 0.10-0.20 T, effective magnetic length approximately equal to active column length, bore &gt;= 40 mm.</w:t>
            </w:r>
          </w:p>
        </w:tc>
      </w:tr>
      <w:tr>
        <w:tc>
          <w:tcPr>
            <w:tcW w:type="dxa" w:w="2592"/>
            <w:vAlign w:val="top"/>
          </w:tcPr>
          <w:p>
            <w:pPr>
              <w:spacing w:after="0"/>
            </w:pPr>
            <w:r/>
            <w:r>
              <w:rPr>
                <w:rFonts w:ascii="Aptos" w:hAnsi="Aptos" w:eastAsia="Aptos"/>
                <w:b w:val="0"/>
                <w:sz w:val="18"/>
              </w:rPr>
              <w:t>Uniformity</w:t>
            </w:r>
          </w:p>
        </w:tc>
        <w:tc>
          <w:tcPr>
            <w:tcW w:type="dxa" w:w="7920"/>
            <w:vAlign w:val="top"/>
          </w:tcPr>
          <w:p>
            <w:pPr>
              <w:spacing w:after="0"/>
            </w:pPr>
            <w:r/>
            <w:r>
              <w:rPr>
                <w:rFonts w:ascii="Aptos" w:hAnsi="Aptos" w:eastAsia="Aptos"/>
                <w:b w:val="0"/>
                <w:sz w:val="18"/>
              </w:rPr>
              <w:t>Delta B/B &lt;= +/-2% over about 10 mm diameter by active length.</w:t>
            </w:r>
          </w:p>
        </w:tc>
      </w:tr>
      <w:tr>
        <w:tc>
          <w:tcPr>
            <w:tcW w:type="dxa" w:w="2592"/>
            <w:vAlign w:val="top"/>
          </w:tcPr>
          <w:p>
            <w:pPr>
              <w:spacing w:after="0"/>
            </w:pPr>
            <w:r/>
            <w:r>
              <w:rPr>
                <w:rFonts w:ascii="Aptos" w:hAnsi="Aptos" w:eastAsia="Aptos"/>
                <w:b w:val="0"/>
                <w:sz w:val="18"/>
              </w:rPr>
              <w:t>Trim/fringe correction</w:t>
            </w:r>
          </w:p>
        </w:tc>
        <w:tc>
          <w:tcPr>
            <w:tcW w:type="dxa" w:w="7920"/>
            <w:vAlign w:val="top"/>
          </w:tcPr>
          <w:p>
            <w:pPr>
              <w:spacing w:after="0"/>
            </w:pPr>
            <w:r/>
            <w:r>
              <w:rPr>
                <w:rFonts w:ascii="Aptos" w:hAnsi="Aptos" w:eastAsia="Aptos"/>
                <w:b w:val="0"/>
                <w:sz w:val="18"/>
              </w:rPr>
              <w:t>Auxiliary Helmholtz or trim coils with roughly +/-5% correction capability.</w:t>
            </w:r>
          </w:p>
        </w:tc>
      </w:tr>
      <w:tr>
        <w:tc>
          <w:tcPr>
            <w:tcW w:type="dxa" w:w="2592"/>
            <w:vAlign w:val="top"/>
          </w:tcPr>
          <w:p>
            <w:pPr>
              <w:spacing w:after="0"/>
            </w:pPr>
            <w:r/>
            <w:r>
              <w:rPr>
                <w:rFonts w:ascii="Aptos" w:hAnsi="Aptos" w:eastAsia="Aptos"/>
                <w:b w:val="0"/>
                <w:sz w:val="18"/>
              </w:rPr>
              <w:t>Alignment</w:t>
            </w:r>
          </w:p>
        </w:tc>
        <w:tc>
          <w:tcPr>
            <w:tcW w:type="dxa" w:w="7920"/>
            <w:vAlign w:val="top"/>
          </w:tcPr>
          <w:p>
            <w:pPr>
              <w:spacing w:after="0"/>
            </w:pPr>
            <w:r/>
            <w:r>
              <w:rPr>
                <w:rFonts w:ascii="Aptos" w:hAnsi="Aptos" w:eastAsia="Aptos"/>
                <w:b w:val="0"/>
                <w:sz w:val="18"/>
              </w:rPr>
              <w:t>Mechanical axis to beam axis within about +/-0.2 mm and tilt &lt;= 0.3 mrad.</w:t>
            </w:r>
          </w:p>
        </w:tc>
      </w:tr>
    </w:tbl>
    <w:p/>
    <w:p>
      <w:pPr>
        <w:pStyle w:val="Heading2"/>
      </w:pPr>
      <w:r>
        <w:t>6.2 Vacuum and differential pumping</w:t>
      </w:r>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Pr>
          <w:p>
            <w:pPr>
              <w:spacing w:after="0"/>
            </w:pPr>
            <w:r/>
            <w:r>
              <w:rPr>
                <w:rFonts w:ascii="Aptos" w:hAnsi="Aptos" w:eastAsia="Aptos"/>
                <w:b/>
                <w:sz w:val="18"/>
              </w:rPr>
              <w:t>Component</w:t>
            </w:r>
          </w:p>
        </w:tc>
        <w:tc>
          <w:tcPr>
            <w:tcW w:type="dxa" w:w="7920"/>
            <w:shd w:fill="D9EAF7"/>
            <w:vAlign w:val="center"/>
          </w:tcPr>
          <w:p>
            <w:pPr>
              <w:spacing w:after="0"/>
            </w:pPr>
            <w:r/>
            <w:r>
              <w:rPr>
                <w:rFonts w:ascii="Aptos" w:hAnsi="Aptos" w:eastAsia="Aptos"/>
                <w:b/>
                <w:sz w:val="18"/>
              </w:rPr>
              <w:t>Suggested specification / function</w:t>
            </w:r>
          </w:p>
        </w:tc>
      </w:tr>
      <w:tr>
        <w:tc>
          <w:tcPr>
            <w:tcW w:type="dxa" w:w="2592"/>
            <w:vAlign w:val="top"/>
          </w:tcPr>
          <w:p>
            <w:pPr>
              <w:spacing w:after="0"/>
            </w:pPr>
            <w:r/>
            <w:r>
              <w:rPr>
                <w:rFonts w:ascii="Aptos" w:hAnsi="Aptos" w:eastAsia="Aptos"/>
                <w:b w:val="0"/>
                <w:sz w:val="18"/>
              </w:rPr>
              <w:t>Local cell pressure</w:t>
            </w:r>
          </w:p>
        </w:tc>
        <w:tc>
          <w:tcPr>
            <w:tcW w:type="dxa" w:w="7920"/>
            <w:vAlign w:val="top"/>
          </w:tcPr>
          <w:p>
            <w:pPr>
              <w:spacing w:after="0"/>
            </w:pPr>
            <w:r/>
            <w:r>
              <w:rPr>
                <w:rFonts w:ascii="Aptos" w:hAnsi="Aptos" w:eastAsia="Aptos"/>
                <w:b w:val="0"/>
                <w:sz w:val="18"/>
              </w:rPr>
              <w:t>Nominal 1e-5 torr for H2; optional Kr seeding up to 1e-5 torr during commissioning or fast-start operation.</w:t>
            </w:r>
          </w:p>
        </w:tc>
      </w:tr>
      <w:tr>
        <w:tc>
          <w:tcPr>
            <w:tcW w:type="dxa" w:w="2592"/>
            <w:vAlign w:val="top"/>
          </w:tcPr>
          <w:p>
            <w:pPr>
              <w:spacing w:after="0"/>
            </w:pPr>
            <w:r/>
            <w:r>
              <w:rPr>
                <w:rFonts w:ascii="Aptos" w:hAnsi="Aptos" w:eastAsia="Aptos"/>
                <w:b w:val="0"/>
                <w:sz w:val="18"/>
              </w:rPr>
              <w:t>Upstream isolation</w:t>
            </w:r>
          </w:p>
        </w:tc>
        <w:tc>
          <w:tcPr>
            <w:tcW w:type="dxa" w:w="7920"/>
            <w:vAlign w:val="top"/>
          </w:tcPr>
          <w:p>
            <w:pPr>
              <w:spacing w:after="0"/>
            </w:pPr>
            <w:r/>
            <w:r>
              <w:rPr>
                <w:rFonts w:ascii="Aptos" w:hAnsi="Aptos" w:eastAsia="Aptos"/>
                <w:b w:val="0"/>
                <w:sz w:val="18"/>
              </w:rPr>
              <w:t>6-8 mm orifice plus TMP &gt;= 500 L/s H2 equivalent.</w:t>
            </w:r>
          </w:p>
        </w:tc>
      </w:tr>
      <w:tr>
        <w:tc>
          <w:tcPr>
            <w:tcW w:type="dxa" w:w="2592"/>
            <w:vAlign w:val="top"/>
          </w:tcPr>
          <w:p>
            <w:pPr>
              <w:spacing w:after="0"/>
            </w:pPr>
            <w:r/>
            <w:r>
              <w:rPr>
                <w:rFonts w:ascii="Aptos" w:hAnsi="Aptos" w:eastAsia="Aptos"/>
                <w:b w:val="0"/>
                <w:sz w:val="18"/>
              </w:rPr>
              <w:t>Downstream isolation</w:t>
            </w:r>
          </w:p>
        </w:tc>
        <w:tc>
          <w:tcPr>
            <w:tcW w:type="dxa" w:w="7920"/>
            <w:vAlign w:val="top"/>
          </w:tcPr>
          <w:p>
            <w:pPr>
              <w:spacing w:after="0"/>
            </w:pPr>
            <w:r/>
            <w:r>
              <w:rPr>
                <w:rFonts w:ascii="Aptos" w:hAnsi="Aptos" w:eastAsia="Aptos"/>
                <w:b w:val="0"/>
                <w:sz w:val="18"/>
              </w:rPr>
              <w:t>4-6 mm orifice plus TMP &gt;= 700 L/s; optional cryopanel if available.</w:t>
            </w:r>
          </w:p>
        </w:tc>
      </w:tr>
      <w:tr>
        <w:tc>
          <w:tcPr>
            <w:tcW w:type="dxa" w:w="2592"/>
            <w:vAlign w:val="top"/>
          </w:tcPr>
          <w:p>
            <w:pPr>
              <w:spacing w:after="0"/>
            </w:pPr>
            <w:r/>
            <w:r>
              <w:rPr>
                <w:rFonts w:ascii="Aptos" w:hAnsi="Aptos" w:eastAsia="Aptos"/>
                <w:b w:val="0"/>
                <w:sz w:val="18"/>
              </w:rPr>
              <w:t>Cyclotron tank pressure</w:t>
            </w:r>
          </w:p>
        </w:tc>
        <w:tc>
          <w:tcPr>
            <w:tcW w:type="dxa" w:w="7920"/>
            <w:vAlign w:val="top"/>
          </w:tcPr>
          <w:p>
            <w:pPr>
              <w:spacing w:after="0"/>
            </w:pPr>
            <w:r/>
            <w:r>
              <w:rPr>
                <w:rFonts w:ascii="Aptos" w:hAnsi="Aptos" w:eastAsia="Aptos"/>
                <w:b w:val="0"/>
                <w:sz w:val="18"/>
              </w:rPr>
              <w:t>Maintain &lt;= 1e-7 torr during operation.</w:t>
            </w:r>
          </w:p>
        </w:tc>
      </w:tr>
      <w:tr>
        <w:tc>
          <w:tcPr>
            <w:tcW w:type="dxa" w:w="2592"/>
            <w:vAlign w:val="top"/>
          </w:tcPr>
          <w:p>
            <w:pPr>
              <w:spacing w:after="0"/>
            </w:pPr>
            <w:r/>
            <w:r>
              <w:rPr>
                <w:rFonts w:ascii="Aptos" w:hAnsi="Aptos" w:eastAsia="Aptos"/>
                <w:b w:val="0"/>
                <w:sz w:val="18"/>
              </w:rPr>
              <w:t>Materials</w:t>
            </w:r>
          </w:p>
        </w:tc>
        <w:tc>
          <w:tcPr>
            <w:tcW w:type="dxa" w:w="7920"/>
            <w:vAlign w:val="top"/>
          </w:tcPr>
          <w:p>
            <w:pPr>
              <w:spacing w:after="0"/>
            </w:pPr>
            <w:r/>
            <w:r>
              <w:rPr>
                <w:rFonts w:ascii="Aptos" w:hAnsi="Aptos" w:eastAsia="Aptos"/>
                <w:b w:val="0"/>
                <w:sz w:val="18"/>
              </w:rPr>
              <w:t>All-metal UHV seals, vented screws, low-outgassing cables, no organics in beam path.</w:t>
            </w:r>
          </w:p>
        </w:tc>
      </w:tr>
      <w:tr>
        <w:tc>
          <w:tcPr>
            <w:tcW w:type="dxa" w:w="2592"/>
            <w:vAlign w:val="top"/>
          </w:tcPr>
          <w:p>
            <w:pPr>
              <w:spacing w:after="0"/>
            </w:pPr>
            <w:r/>
            <w:r>
              <w:rPr>
                <w:rFonts w:ascii="Aptos" w:hAnsi="Aptos" w:eastAsia="Aptos"/>
                <w:b w:val="0"/>
                <w:sz w:val="18"/>
              </w:rPr>
              <w:t>Interlock threshold</w:t>
            </w:r>
          </w:p>
        </w:tc>
        <w:tc>
          <w:tcPr>
            <w:tcW w:type="dxa" w:w="7920"/>
            <w:vAlign w:val="top"/>
          </w:tcPr>
          <w:p>
            <w:pPr>
              <w:spacing w:after="0"/>
            </w:pPr>
            <w:r/>
            <w:r>
              <w:rPr>
                <w:rFonts w:ascii="Aptos" w:hAnsi="Aptos" w:eastAsia="Aptos"/>
                <w:b w:val="0"/>
                <w:sz w:val="18"/>
              </w:rPr>
              <w:t>Close Kr MFC/valves and inhibit beam if tank or cell pressure exceeds allowed limits; source note suggests cell pressure limit near 5e-5 torr.</w:t>
            </w:r>
          </w:p>
        </w:tc>
      </w:tr>
    </w:tbl>
    <w:p/>
    <w:p>
      <w:pPr>
        <w:pStyle w:val="Heading2"/>
      </w:pPr>
      <w:r>
        <w:t>6.3 Electrodes, diagnostics, and controls</w:t>
      </w:r>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Pr>
          <w:p>
            <w:pPr>
              <w:spacing w:after="0"/>
            </w:pPr>
            <w:r/>
            <w:r>
              <w:rPr>
                <w:rFonts w:ascii="Aptos" w:hAnsi="Aptos" w:eastAsia="Aptos"/>
                <w:b/>
                <w:sz w:val="18"/>
              </w:rPr>
              <w:t>Subsystem</w:t>
            </w:r>
          </w:p>
        </w:tc>
        <w:tc>
          <w:tcPr>
            <w:tcW w:type="dxa" w:w="7920"/>
            <w:shd w:fill="D9EAF7"/>
            <w:vAlign w:val="center"/>
          </w:tcPr>
          <w:p>
            <w:pPr>
              <w:spacing w:after="0"/>
            </w:pPr>
            <w:r/>
            <w:r>
              <w:rPr>
                <w:rFonts w:ascii="Aptos" w:hAnsi="Aptos" w:eastAsia="Aptos"/>
                <w:b/>
                <w:sz w:val="18"/>
              </w:rPr>
              <w:t>Suggested implementation</w:t>
            </w:r>
          </w:p>
        </w:tc>
      </w:tr>
      <w:tr>
        <w:tc>
          <w:tcPr>
            <w:tcW w:type="dxa" w:w="2592"/>
            <w:vAlign w:val="top"/>
          </w:tcPr>
          <w:p>
            <w:pPr>
              <w:spacing w:after="0"/>
            </w:pPr>
            <w:r/>
            <w:r>
              <w:rPr>
                <w:rFonts w:ascii="Aptos" w:hAnsi="Aptos" w:eastAsia="Aptos"/>
                <w:b w:val="0"/>
                <w:sz w:val="18"/>
              </w:rPr>
              <w:t>End electrodes</w:t>
            </w:r>
          </w:p>
        </w:tc>
        <w:tc>
          <w:tcPr>
            <w:tcW w:type="dxa" w:w="7920"/>
            <w:vAlign w:val="top"/>
          </w:tcPr>
          <w:p>
            <w:pPr>
              <w:spacing w:after="0"/>
            </w:pPr>
            <w:r/>
            <w:r>
              <w:rPr>
                <w:rFonts w:ascii="Aptos" w:hAnsi="Aptos" w:eastAsia="Aptos"/>
                <w:b w:val="0"/>
                <w:sz w:val="18"/>
              </w:rPr>
              <w:t>Two axial cups or grids with clear aperture &gt;= 18 mm, edge-rounded, mounted near column ends.</w:t>
            </w:r>
          </w:p>
        </w:tc>
      </w:tr>
      <w:tr>
        <w:tc>
          <w:tcPr>
            <w:tcW w:type="dxa" w:w="2592"/>
            <w:vAlign w:val="top"/>
          </w:tcPr>
          <w:p>
            <w:pPr>
              <w:spacing w:after="0"/>
            </w:pPr>
            <w:r/>
            <w:r>
              <w:rPr>
                <w:rFonts w:ascii="Aptos" w:hAnsi="Aptos" w:eastAsia="Aptos"/>
                <w:b w:val="0"/>
                <w:sz w:val="18"/>
              </w:rPr>
              <w:t>Bias supply</w:t>
            </w:r>
          </w:p>
        </w:tc>
        <w:tc>
          <w:tcPr>
            <w:tcW w:type="dxa" w:w="7920"/>
            <w:vAlign w:val="top"/>
          </w:tcPr>
          <w:p>
            <w:pPr>
              <w:spacing w:after="0"/>
            </w:pPr>
            <w:r/>
            <w:r>
              <w:rPr>
                <w:rFonts w:ascii="Aptos" w:hAnsi="Aptos" w:eastAsia="Aptos"/>
                <w:b w:val="0"/>
                <w:sz w:val="18"/>
              </w:rPr>
              <w:t>Low-voltage supply with at least 0-50 V magnitude and about 100 mA capability; polarity must be chosen to confine electrons under the defined reference convention.</w:t>
            </w:r>
          </w:p>
        </w:tc>
      </w:tr>
      <w:tr>
        <w:tc>
          <w:tcPr>
            <w:tcW w:type="dxa" w:w="2592"/>
            <w:vAlign w:val="top"/>
          </w:tcPr>
          <w:p>
            <w:pPr>
              <w:spacing w:after="0"/>
            </w:pPr>
            <w:r/>
            <w:r>
              <w:rPr>
                <w:rFonts w:ascii="Aptos" w:hAnsi="Aptos" w:eastAsia="Aptos"/>
                <w:b w:val="0"/>
                <w:sz w:val="18"/>
              </w:rPr>
              <w:t>Guard sleeves</w:t>
            </w:r>
          </w:p>
        </w:tc>
        <w:tc>
          <w:tcPr>
            <w:tcW w:type="dxa" w:w="7920"/>
            <w:vAlign w:val="top"/>
          </w:tcPr>
          <w:p>
            <w:pPr>
              <w:spacing w:after="0"/>
            </w:pPr>
            <w:r/>
            <w:r>
              <w:rPr>
                <w:rFonts w:ascii="Aptos" w:hAnsi="Aptos" w:eastAsia="Aptos"/>
                <w:b w:val="0"/>
                <w:sz w:val="18"/>
              </w:rPr>
              <w:t>Floating or grounded sleeves to suppress secondary electrons; optional weak bias after commissioning scans.</w:t>
            </w:r>
          </w:p>
        </w:tc>
      </w:tr>
      <w:tr>
        <w:tc>
          <w:tcPr>
            <w:tcW w:type="dxa" w:w="2592"/>
            <w:vAlign w:val="top"/>
          </w:tcPr>
          <w:p>
            <w:pPr>
              <w:spacing w:after="0"/>
            </w:pPr>
            <w:r/>
            <w:r>
              <w:rPr>
                <w:rFonts w:ascii="Aptos" w:hAnsi="Aptos" w:eastAsia="Aptos"/>
                <w:b w:val="0"/>
                <w:sz w:val="18"/>
              </w:rPr>
              <w:t>Beam diagnostics</w:t>
            </w:r>
          </w:p>
        </w:tc>
        <w:tc>
          <w:tcPr>
            <w:tcW w:type="dxa" w:w="7920"/>
            <w:vAlign w:val="top"/>
          </w:tcPr>
          <w:p>
            <w:pPr>
              <w:spacing w:after="0"/>
            </w:pPr>
            <w:r/>
            <w:r>
              <w:rPr>
                <w:rFonts w:ascii="Aptos" w:hAnsi="Aptos" w:eastAsia="Aptos"/>
                <w:b w:val="0"/>
                <w:sz w:val="18"/>
              </w:rPr>
              <w:t>Retractable screen at exit, upstream DCCT/Faraday cup, downstream profile and transmission monitors.</w:t>
            </w:r>
          </w:p>
        </w:tc>
      </w:tr>
      <w:tr>
        <w:tc>
          <w:tcPr>
            <w:tcW w:type="dxa" w:w="2592"/>
            <w:vAlign w:val="top"/>
          </w:tcPr>
          <w:p>
            <w:pPr>
              <w:spacing w:after="0"/>
            </w:pPr>
            <w:r/>
            <w:r>
              <w:rPr>
                <w:rFonts w:ascii="Aptos" w:hAnsi="Aptos" w:eastAsia="Aptos"/>
                <w:b w:val="0"/>
                <w:sz w:val="18"/>
              </w:rPr>
              <w:t>Plasma/vacuum diagnostics</w:t>
            </w:r>
          </w:p>
        </w:tc>
        <w:tc>
          <w:tcPr>
            <w:tcW w:type="dxa" w:w="7920"/>
            <w:vAlign w:val="top"/>
          </w:tcPr>
          <w:p>
            <w:pPr>
              <w:spacing w:after="0"/>
            </w:pPr>
            <w:r/>
            <w:r>
              <w:rPr>
                <w:rFonts w:ascii="Aptos" w:hAnsi="Aptos" w:eastAsia="Aptos"/>
                <w:b w:val="0"/>
                <w:sz w:val="18"/>
              </w:rPr>
              <w:t>Viewports for plasma light, optional Langmuir pins, B-dot/flux probe, nude gauges, RGA for partial pressures.</w:t>
            </w:r>
          </w:p>
        </w:tc>
      </w:tr>
      <w:tr>
        <w:tc>
          <w:tcPr>
            <w:tcW w:type="dxa" w:w="2592"/>
            <w:vAlign w:val="top"/>
          </w:tcPr>
          <w:p>
            <w:pPr>
              <w:spacing w:after="0"/>
            </w:pPr>
            <w:r/>
            <w:r>
              <w:rPr>
                <w:rFonts w:ascii="Aptos" w:hAnsi="Aptos" w:eastAsia="Aptos"/>
                <w:b w:val="0"/>
                <w:sz w:val="18"/>
              </w:rPr>
              <w:t>Power/cooling</w:t>
            </w:r>
          </w:p>
        </w:tc>
        <w:tc>
          <w:tcPr>
            <w:tcW w:type="dxa" w:w="7920"/>
            <w:vAlign w:val="top"/>
          </w:tcPr>
          <w:p>
            <w:pPr>
              <w:spacing w:after="0"/>
            </w:pPr>
            <w:r/>
            <w:r>
              <w:rPr>
                <w:rFonts w:ascii="Aptos" w:hAnsi="Aptos" w:eastAsia="Aptos"/>
                <w:b w:val="0"/>
                <w:sz w:val="18"/>
              </w:rPr>
              <w:t>Solenoid supply 0-200 A with low ripple; 1-2 L/min DI water; field stability &lt;= 0.1% over minutes.</w:t>
            </w:r>
          </w:p>
        </w:tc>
      </w:tr>
    </w:tbl>
    <w:p/>
    <w:p>
      <w:pPr>
        <w:pStyle w:val="Heading2"/>
      </w:pPr>
      <w:r>
        <w:t>6.4 Commissioning sequence</w:t>
      </w:r>
    </w:p>
    <w:p>
      <w:pPr>
        <w:pStyle w:val="ListNumber"/>
        <w:spacing w:after="60"/>
      </w:pPr>
      <w:r>
        <w:t>Pump the module and adjacent cyclotron tank to base pressure; verify tank pressure below the required limit and leak-check all gas lines.</w:t>
      </w:r>
    </w:p>
    <w:p>
      <w:pPr>
        <w:pStyle w:val="ListNumber"/>
        <w:spacing w:after="60"/>
      </w:pPr>
      <w:r>
        <w:t>Ramp the solenoid to a conservative starting field, for example 0.15 T, and verify field-map consistency with expected fringe fields.</w:t>
      </w:r>
    </w:p>
    <w:p>
      <w:pPr>
        <w:pStyle w:val="ListNumber"/>
        <w:spacing w:after="60"/>
      </w:pPr>
      <w:r>
        <w:t>Inject low-current proton beam without intentional Kr; measure baseline beam size, centroid, current transmission, and vacuum response.</w:t>
      </w:r>
    </w:p>
    <w:p>
      <w:pPr>
        <w:pStyle w:val="ListNumber"/>
        <w:spacing w:after="60"/>
      </w:pPr>
      <w:r>
        <w:t>Introduce controlled H2 pressure near the cell design point and repeat beam profile and transmission measurements.</w:t>
      </w:r>
    </w:p>
    <w:p>
      <w:pPr>
        <w:pStyle w:val="ListNumber"/>
        <w:spacing w:after="60"/>
      </w:pPr>
      <w:r>
        <w:t>Scan end-electrode bias magnitude and sign to identify the setting that maximizes neutralization while avoiding over-focusing or electron loss.</w:t>
      </w:r>
    </w:p>
    <w:p>
      <w:pPr>
        <w:pStyle w:val="ListNumber"/>
        <w:spacing w:after="60"/>
      </w:pPr>
      <w:r>
        <w:t>Increase current toward the design value and repeat pressure, bias, and B-field scans.</w:t>
      </w:r>
    </w:p>
    <w:p>
      <w:pPr>
        <w:pStyle w:val="ListNumber"/>
        <w:spacing w:after="60"/>
      </w:pPr>
      <w:r>
        <w:t>For Kr fast-start tests, use pulsed puffs or small partial pressures and monitor turn-on transient, beam size, emittance, inflector HV stability, and tank pressure.</w:t>
      </w:r>
    </w:p>
    <w:p>
      <w:pPr>
        <w:pStyle w:val="ListNumber"/>
        <w:spacing w:after="60"/>
      </w:pPr>
      <w:r>
        <w:t>Lock down interlocks: gas shutoff on tank pressure excursion, inflector HV trip, excess cell pressure, solenoid cooling fault, or beam-loss alarm.</w:t>
      </w:r>
    </w:p>
    <w:p>
      <w:pPr>
        <w:pStyle w:val="Heading1"/>
      </w:pPr>
      <w:r>
        <w:t>7. Expected Beam-Dynamics Performance</w:t>
      </w:r>
    </w:p>
    <w:p>
      <w:r>
        <w:t>The supplied estimates point to three performance regimes: unneutralized vacuum transport, H2-compensated transport, and Kr-assisted fast-start transport. The plasma column does not reduce the normalized emittance already produced by the source and LEBT, but it can suppress additional space-charge-driven blow-up and divergence before the inflector. The beam must then be re-matched because a neutralized envelope is not the same matched solution as an unneutralized one.</w:t>
      </w:r>
    </w:p>
    <w:p>
      <w:pPr>
        <w:pStyle w:val="Heading2"/>
      </w:pPr>
      <w:r>
        <w:t>7.1 Estimated envelope and transmission gain</w:t>
      </w:r>
    </w:p>
    <w:p>
      <w:r>
        <w:t>Using the simple scaling R_eta/R_0 approximately sqrt(1 - eta), the source notes estimate envelope/divergence shrink factors of about 0.55-0.39 for H2 with eta = 0.70-0.85 and about 0.39-0.22 for Kr with eta = 0.85-0.95. If the stand-alone inflector transmission is roughly 10% in the unneutralized case, the estimated transmission could rise to roughly 18-21% for H2 and 25-34% for Kr over a 1-10 mA design range. These numbers should be presented as order-of-magnitude estimates, not guaranteed machine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9EAF7"/>
            <w:vAlign w:val="center"/>
          </w:tcPr>
          <w:p>
            <w:pPr>
              <w:spacing w:after="0"/>
            </w:pPr>
            <w:r/>
            <w:r>
              <w:rPr>
                <w:rFonts w:ascii="Aptos" w:hAnsi="Aptos" w:eastAsia="Aptos"/>
                <w:b/>
                <w:sz w:val="18"/>
              </w:rPr>
              <w:t>Case</w:t>
            </w:r>
          </w:p>
        </w:tc>
        <w:tc>
          <w:tcPr>
            <w:tcW w:type="dxa" w:w="2592"/>
            <w:shd w:fill="D9EAF7"/>
            <w:vAlign w:val="center"/>
          </w:tcPr>
          <w:p>
            <w:pPr>
              <w:spacing w:after="0"/>
            </w:pPr>
            <w:r/>
            <w:r>
              <w:rPr>
                <w:rFonts w:ascii="Aptos" w:hAnsi="Aptos" w:eastAsia="Aptos"/>
                <w:b/>
                <w:sz w:val="18"/>
              </w:rPr>
              <w:t>Assumed neutralization</w:t>
            </w:r>
          </w:p>
        </w:tc>
        <w:tc>
          <w:tcPr>
            <w:tcW w:type="dxa" w:w="2592"/>
            <w:shd w:fill="D9EAF7"/>
            <w:vAlign w:val="center"/>
          </w:tcPr>
          <w:p>
            <w:pPr>
              <w:spacing w:after="0"/>
            </w:pPr>
            <w:r/>
            <w:r>
              <w:rPr>
                <w:rFonts w:ascii="Aptos" w:hAnsi="Aptos" w:eastAsia="Aptos"/>
                <w:b/>
                <w:sz w:val="18"/>
              </w:rPr>
              <w:t>Envelope/divergence shrink</w:t>
            </w:r>
          </w:p>
        </w:tc>
        <w:tc>
          <w:tcPr>
            <w:tcW w:type="dxa" w:w="3168"/>
            <w:shd w:fill="D9EAF7"/>
            <w:vAlign w:val="center"/>
          </w:tcPr>
          <w:p>
            <w:pPr>
              <w:spacing w:after="0"/>
            </w:pPr>
            <w:r/>
            <w:r>
              <w:rPr>
                <w:rFonts w:ascii="Aptos" w:hAnsi="Aptos" w:eastAsia="Aptos"/>
                <w:b/>
                <w:sz w:val="18"/>
              </w:rPr>
              <w:t>Approx. stand-alone inflector transmission estimate</w:t>
            </w:r>
          </w:p>
        </w:tc>
      </w:tr>
      <w:tr>
        <w:tc>
          <w:tcPr>
            <w:tcW w:type="dxa" w:w="2160"/>
            <w:vAlign w:val="top"/>
          </w:tcPr>
          <w:p>
            <w:pPr>
              <w:spacing w:after="0"/>
            </w:pPr>
            <w:r/>
            <w:r>
              <w:rPr>
                <w:rFonts w:ascii="Aptos" w:hAnsi="Aptos" w:eastAsia="Aptos"/>
                <w:b w:val="0"/>
                <w:sz w:val="18"/>
              </w:rPr>
              <w:t>No plasma</w:t>
            </w:r>
          </w:p>
        </w:tc>
        <w:tc>
          <w:tcPr>
            <w:tcW w:type="dxa" w:w="2592"/>
            <w:vAlign w:val="top"/>
          </w:tcPr>
          <w:p>
            <w:pPr>
              <w:spacing w:after="0"/>
            </w:pPr>
            <w:r/>
            <w:r>
              <w:rPr>
                <w:rFonts w:ascii="Aptos" w:hAnsi="Aptos" w:eastAsia="Aptos"/>
                <w:b w:val="0"/>
                <w:sz w:val="18"/>
              </w:rPr>
              <w:t>0</w:t>
            </w:r>
          </w:p>
        </w:tc>
        <w:tc>
          <w:tcPr>
            <w:tcW w:type="dxa" w:w="2592"/>
            <w:vAlign w:val="top"/>
          </w:tcPr>
          <w:p>
            <w:pPr>
              <w:spacing w:after="0"/>
            </w:pPr>
            <w:r/>
            <w:r>
              <w:rPr>
                <w:rFonts w:ascii="Aptos" w:hAnsi="Aptos" w:eastAsia="Aptos"/>
                <w:b w:val="0"/>
                <w:sz w:val="18"/>
              </w:rPr>
              <w:t>1.0</w:t>
            </w:r>
          </w:p>
        </w:tc>
        <w:tc>
          <w:tcPr>
            <w:tcW w:type="dxa" w:w="3168"/>
            <w:vAlign w:val="top"/>
          </w:tcPr>
          <w:p>
            <w:pPr>
              <w:spacing w:after="0"/>
            </w:pPr>
            <w:r/>
            <w:r>
              <w:rPr>
                <w:rFonts w:ascii="Aptos" w:hAnsi="Aptos" w:eastAsia="Aptos"/>
                <w:b w:val="0"/>
                <w:sz w:val="18"/>
              </w:rPr>
              <w:t>~10% baseline order-of-magnitude</w:t>
            </w:r>
          </w:p>
        </w:tc>
      </w:tr>
      <w:tr>
        <w:tc>
          <w:tcPr>
            <w:tcW w:type="dxa" w:w="2160"/>
            <w:vAlign w:val="top"/>
          </w:tcPr>
          <w:p>
            <w:pPr>
              <w:spacing w:after="0"/>
            </w:pPr>
            <w:r/>
            <w:r>
              <w:rPr>
                <w:rFonts w:ascii="Aptos" w:hAnsi="Aptos" w:eastAsia="Aptos"/>
                <w:b w:val="0"/>
                <w:sz w:val="18"/>
              </w:rPr>
              <w:t>H2, high current</w:t>
            </w:r>
          </w:p>
        </w:tc>
        <w:tc>
          <w:tcPr>
            <w:tcW w:type="dxa" w:w="2592"/>
            <w:vAlign w:val="top"/>
          </w:tcPr>
          <w:p>
            <w:pPr>
              <w:spacing w:after="0"/>
            </w:pPr>
            <w:r/>
            <w:r>
              <w:rPr>
                <w:rFonts w:ascii="Aptos" w:hAnsi="Aptos" w:eastAsia="Aptos"/>
                <w:b w:val="0"/>
                <w:sz w:val="18"/>
              </w:rPr>
              <w:t>0.70</w:t>
            </w:r>
          </w:p>
        </w:tc>
        <w:tc>
          <w:tcPr>
            <w:tcW w:type="dxa" w:w="2592"/>
            <w:vAlign w:val="top"/>
          </w:tcPr>
          <w:p>
            <w:pPr>
              <w:spacing w:after="0"/>
            </w:pPr>
            <w:r/>
            <w:r>
              <w:rPr>
                <w:rFonts w:ascii="Aptos" w:hAnsi="Aptos" w:eastAsia="Aptos"/>
                <w:b w:val="0"/>
                <w:sz w:val="18"/>
              </w:rPr>
              <w:t>0.55</w:t>
            </w:r>
          </w:p>
        </w:tc>
        <w:tc>
          <w:tcPr>
            <w:tcW w:type="dxa" w:w="3168"/>
            <w:vAlign w:val="top"/>
          </w:tcPr>
          <w:p>
            <w:pPr>
              <w:spacing w:after="0"/>
            </w:pPr>
            <w:r/>
            <w:r>
              <w:rPr>
                <w:rFonts w:ascii="Aptos" w:hAnsi="Aptos" w:eastAsia="Aptos"/>
                <w:b w:val="0"/>
                <w:sz w:val="18"/>
              </w:rPr>
              <w:t>~18%</w:t>
            </w:r>
          </w:p>
        </w:tc>
      </w:tr>
      <w:tr>
        <w:tc>
          <w:tcPr>
            <w:tcW w:type="dxa" w:w="2160"/>
            <w:vAlign w:val="top"/>
          </w:tcPr>
          <w:p>
            <w:pPr>
              <w:spacing w:after="0"/>
            </w:pPr>
            <w:r/>
            <w:r>
              <w:rPr>
                <w:rFonts w:ascii="Aptos" w:hAnsi="Aptos" w:eastAsia="Aptos"/>
                <w:b w:val="0"/>
                <w:sz w:val="18"/>
              </w:rPr>
              <w:t>H2, favorable</w:t>
            </w:r>
          </w:p>
        </w:tc>
        <w:tc>
          <w:tcPr>
            <w:tcW w:type="dxa" w:w="2592"/>
            <w:vAlign w:val="top"/>
          </w:tcPr>
          <w:p>
            <w:pPr>
              <w:spacing w:after="0"/>
            </w:pPr>
            <w:r/>
            <w:r>
              <w:rPr>
                <w:rFonts w:ascii="Aptos" w:hAnsi="Aptos" w:eastAsia="Aptos"/>
                <w:b w:val="0"/>
                <w:sz w:val="18"/>
              </w:rPr>
              <w:t>0.80-0.85</w:t>
            </w:r>
          </w:p>
        </w:tc>
        <w:tc>
          <w:tcPr>
            <w:tcW w:type="dxa" w:w="2592"/>
            <w:vAlign w:val="top"/>
          </w:tcPr>
          <w:p>
            <w:pPr>
              <w:spacing w:after="0"/>
            </w:pPr>
            <w:r/>
            <w:r>
              <w:rPr>
                <w:rFonts w:ascii="Aptos" w:hAnsi="Aptos" w:eastAsia="Aptos"/>
                <w:b w:val="0"/>
                <w:sz w:val="18"/>
              </w:rPr>
              <w:t>0.45-0.39</w:t>
            </w:r>
          </w:p>
        </w:tc>
        <w:tc>
          <w:tcPr>
            <w:tcW w:type="dxa" w:w="3168"/>
            <w:vAlign w:val="top"/>
          </w:tcPr>
          <w:p>
            <w:pPr>
              <w:spacing w:after="0"/>
            </w:pPr>
            <w:r/>
            <w:r>
              <w:rPr>
                <w:rFonts w:ascii="Aptos" w:hAnsi="Aptos" w:eastAsia="Aptos"/>
                <w:b w:val="0"/>
                <w:sz w:val="18"/>
              </w:rPr>
              <w:t>~19-21%</w:t>
            </w:r>
          </w:p>
        </w:tc>
      </w:tr>
      <w:tr>
        <w:tc>
          <w:tcPr>
            <w:tcW w:type="dxa" w:w="2160"/>
            <w:vAlign w:val="top"/>
          </w:tcPr>
          <w:p>
            <w:pPr>
              <w:spacing w:after="0"/>
            </w:pPr>
            <w:r/>
            <w:r>
              <w:rPr>
                <w:rFonts w:ascii="Aptos" w:hAnsi="Aptos" w:eastAsia="Aptos"/>
                <w:b w:val="0"/>
                <w:sz w:val="18"/>
              </w:rPr>
              <w:t>Kr, high current</w:t>
            </w:r>
          </w:p>
        </w:tc>
        <w:tc>
          <w:tcPr>
            <w:tcW w:type="dxa" w:w="2592"/>
            <w:vAlign w:val="top"/>
          </w:tcPr>
          <w:p>
            <w:pPr>
              <w:spacing w:after="0"/>
            </w:pPr>
            <w:r/>
            <w:r>
              <w:rPr>
                <w:rFonts w:ascii="Aptos" w:hAnsi="Aptos" w:eastAsia="Aptos"/>
                <w:b w:val="0"/>
                <w:sz w:val="18"/>
              </w:rPr>
              <w:t>0.85</w:t>
            </w:r>
          </w:p>
        </w:tc>
        <w:tc>
          <w:tcPr>
            <w:tcW w:type="dxa" w:w="2592"/>
            <w:vAlign w:val="top"/>
          </w:tcPr>
          <w:p>
            <w:pPr>
              <w:spacing w:after="0"/>
            </w:pPr>
            <w:r/>
            <w:r>
              <w:rPr>
                <w:rFonts w:ascii="Aptos" w:hAnsi="Aptos" w:eastAsia="Aptos"/>
                <w:b w:val="0"/>
                <w:sz w:val="18"/>
              </w:rPr>
              <w:t>0.39</w:t>
            </w:r>
          </w:p>
        </w:tc>
        <w:tc>
          <w:tcPr>
            <w:tcW w:type="dxa" w:w="3168"/>
            <w:vAlign w:val="top"/>
          </w:tcPr>
          <w:p>
            <w:pPr>
              <w:spacing w:after="0"/>
            </w:pPr>
            <w:r/>
            <w:r>
              <w:rPr>
                <w:rFonts w:ascii="Aptos" w:hAnsi="Aptos" w:eastAsia="Aptos"/>
                <w:b w:val="0"/>
                <w:sz w:val="18"/>
              </w:rPr>
              <w:t>~25%</w:t>
            </w:r>
          </w:p>
        </w:tc>
      </w:tr>
      <w:tr>
        <w:tc>
          <w:tcPr>
            <w:tcW w:type="dxa" w:w="2160"/>
            <w:vAlign w:val="top"/>
          </w:tcPr>
          <w:p>
            <w:pPr>
              <w:spacing w:after="0"/>
            </w:pPr>
            <w:r/>
            <w:r>
              <w:rPr>
                <w:rFonts w:ascii="Aptos" w:hAnsi="Aptos" w:eastAsia="Aptos"/>
                <w:b w:val="0"/>
                <w:sz w:val="18"/>
              </w:rPr>
              <w:t>Kr, favorable</w:t>
            </w:r>
          </w:p>
        </w:tc>
        <w:tc>
          <w:tcPr>
            <w:tcW w:type="dxa" w:w="2592"/>
            <w:vAlign w:val="top"/>
          </w:tcPr>
          <w:p>
            <w:pPr>
              <w:spacing w:after="0"/>
            </w:pPr>
            <w:r/>
            <w:r>
              <w:rPr>
                <w:rFonts w:ascii="Aptos" w:hAnsi="Aptos" w:eastAsia="Aptos"/>
                <w:b w:val="0"/>
                <w:sz w:val="18"/>
              </w:rPr>
              <w:t>0.90-0.92</w:t>
            </w:r>
          </w:p>
        </w:tc>
        <w:tc>
          <w:tcPr>
            <w:tcW w:type="dxa" w:w="2592"/>
            <w:vAlign w:val="top"/>
          </w:tcPr>
          <w:p>
            <w:pPr>
              <w:spacing w:after="0"/>
            </w:pPr>
            <w:r/>
            <w:r>
              <w:rPr>
                <w:rFonts w:ascii="Aptos" w:hAnsi="Aptos" w:eastAsia="Aptos"/>
                <w:b w:val="0"/>
                <w:sz w:val="18"/>
              </w:rPr>
              <w:t>0.32-0.28</w:t>
            </w:r>
          </w:p>
        </w:tc>
        <w:tc>
          <w:tcPr>
            <w:tcW w:type="dxa" w:w="3168"/>
            <w:vAlign w:val="top"/>
          </w:tcPr>
          <w:p>
            <w:pPr>
              <w:spacing w:after="0"/>
            </w:pPr>
            <w:r/>
            <w:r>
              <w:rPr>
                <w:rFonts w:ascii="Aptos" w:hAnsi="Aptos" w:eastAsia="Aptos"/>
                <w:b w:val="0"/>
                <w:sz w:val="18"/>
              </w:rPr>
              <w:t>~30-34%</w:t>
            </w:r>
          </w:p>
        </w:tc>
      </w:tr>
    </w:tbl>
    <w:p/>
    <w:p>
      <w:pPr>
        <w:pStyle w:val="Heading2"/>
      </w:pPr>
      <w:r>
        <w:t>7.2 Saturation limits</w:t>
      </w:r>
    </w:p>
    <w:p>
      <w:r>
        <w:t>Transmission gain will saturate when the limiting factor is no longer upstream space-charge blow-up but the inflector hard aperture, nonlinear 3D acceptance, RF phase acceptance, central-region capture, or downstream mismatch. The sources explicitly note that stand-alone inflector transmission may saturate around the tens-of-percent level even if neutralization is increased. Therefore, the module should be evaluated by total source-to-first-turn or source-to-captured-current efficiency, not only by the exit beam size of the plasma cell.</w:t>
      </w:r>
    </w:p>
    <w:p>
      <w:pPr>
        <w:pStyle w:val="Heading2"/>
      </w:pPr>
      <w:r>
        <w:t>7.3 H- versus proton compatibility</w:t>
      </w:r>
    </w:p>
    <w:p>
      <w:r>
        <w:t>The concept is best suited to positive proton beams. The supplied plasma-column note warns that H- beams are poor candidates because extra gas and plasma increase stripping to H0 and H+, and because H- injection and extraction already have severe residual-gas and Lorentz-stripping constraints. If the target cyclotron uses H-, the proposal must be reframed carefully: plasma-assisted SCC upstream of an H- inflector may be incompatible unless stripping losses are quantitatively shown to be negligible. For a proton cyclotron axial line, the concept is much more plausible.</w:t>
      </w:r>
    </w:p>
    <w:p>
      <w:pPr>
        <w:pStyle w:val="Heading1"/>
      </w:pPr>
      <w:r>
        <w:t>8. Relation to Prior Work and Literature Themes</w:t>
      </w:r>
    </w:p>
    <w:p>
      <w:r>
        <w:t>The uploaded literature map and review notes organize the prior art into four families: conventional LEBT space-charge compensation, electron columns, Gabor/plasma lenses, and dense neutralized drift-compression systems. The proposed cyclotron plasma column borrows elements from all of these but is closest to LEBT SCC and electron-column hardware.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fill="D9EAF7"/>
            <w:vAlign w:val="center"/>
          </w:tcPr>
          <w:p>
            <w:pPr>
              <w:spacing w:after="0"/>
            </w:pPr>
            <w:r/>
            <w:r>
              <w:rPr>
                <w:rFonts w:ascii="Aptos" w:hAnsi="Aptos" w:eastAsia="Aptos"/>
                <w:b/>
                <w:sz w:val="18"/>
              </w:rPr>
              <w:t>Prior-work category</w:t>
            </w:r>
          </w:p>
        </w:tc>
        <w:tc>
          <w:tcPr>
            <w:tcW w:type="dxa" w:w="2880"/>
            <w:shd w:fill="D9EAF7"/>
            <w:vAlign w:val="center"/>
          </w:tcPr>
          <w:p>
            <w:pPr>
              <w:spacing w:after="0"/>
            </w:pPr>
            <w:r/>
            <w:r>
              <w:rPr>
                <w:rFonts w:ascii="Aptos" w:hAnsi="Aptos" w:eastAsia="Aptos"/>
                <w:b/>
                <w:sz w:val="18"/>
              </w:rPr>
              <w:t>Main mechanism</w:t>
            </w:r>
          </w:p>
        </w:tc>
        <w:tc>
          <w:tcPr>
            <w:tcW w:type="dxa" w:w="2880"/>
            <w:shd w:fill="D9EAF7"/>
            <w:vAlign w:val="center"/>
          </w:tcPr>
          <w:p>
            <w:pPr>
              <w:spacing w:after="0"/>
            </w:pPr>
            <w:r/>
            <w:r>
              <w:rPr>
                <w:rFonts w:ascii="Aptos" w:hAnsi="Aptos" w:eastAsia="Aptos"/>
                <w:b/>
                <w:sz w:val="18"/>
              </w:rPr>
              <w:t>Similarity to proposed module</w:t>
            </w:r>
          </w:p>
        </w:tc>
        <w:tc>
          <w:tcPr>
            <w:tcW w:type="dxa" w:w="2736"/>
            <w:shd w:fill="D9EAF7"/>
            <w:vAlign w:val="center"/>
          </w:tcPr>
          <w:p>
            <w:pPr>
              <w:spacing w:after="0"/>
            </w:pPr>
            <w:r/>
            <w:r>
              <w:rPr>
                <w:rFonts w:ascii="Aptos" w:hAnsi="Aptos" w:eastAsia="Aptos"/>
                <w:b/>
                <w:sz w:val="18"/>
              </w:rPr>
              <w:t>Key difference</w:t>
            </w:r>
          </w:p>
        </w:tc>
      </w:tr>
      <w:tr>
        <w:tc>
          <w:tcPr>
            <w:tcW w:type="dxa" w:w="2448"/>
            <w:vAlign w:val="top"/>
          </w:tcPr>
          <w:p>
            <w:pPr>
              <w:spacing w:after="0"/>
            </w:pPr>
            <w:r/>
            <w:r>
              <w:rPr>
                <w:rFonts w:ascii="Aptos" w:hAnsi="Aptos" w:eastAsia="Aptos"/>
                <w:b w:val="0"/>
                <w:sz w:val="18"/>
              </w:rPr>
              <w:t>LEBT space-charge compensation</w:t>
            </w:r>
          </w:p>
        </w:tc>
        <w:tc>
          <w:tcPr>
            <w:tcW w:type="dxa" w:w="2880"/>
            <w:vAlign w:val="top"/>
          </w:tcPr>
          <w:p>
            <w:pPr>
              <w:spacing w:after="0"/>
            </w:pPr>
            <w:r/>
            <w:r>
              <w:rPr>
                <w:rFonts w:ascii="Aptos" w:hAnsi="Aptos" w:eastAsia="Aptos"/>
                <w:b w:val="0"/>
                <w:sz w:val="18"/>
              </w:rPr>
              <w:t>Beam ionizes residual or injected gas; electrons partially neutralize positive beam.</w:t>
            </w:r>
          </w:p>
        </w:tc>
        <w:tc>
          <w:tcPr>
            <w:tcW w:type="dxa" w:w="2880"/>
            <w:vAlign w:val="top"/>
          </w:tcPr>
          <w:p>
            <w:pPr>
              <w:spacing w:after="0"/>
            </w:pPr>
            <w:r/>
            <w:r>
              <w:rPr>
                <w:rFonts w:ascii="Aptos" w:hAnsi="Aptos" w:eastAsia="Aptos"/>
                <w:b w:val="0"/>
                <w:sz w:val="18"/>
              </w:rPr>
              <w:t>Very close physics; similar pressure range, beam energy, solenoids, and gas-species dependence.</w:t>
            </w:r>
          </w:p>
        </w:tc>
        <w:tc>
          <w:tcPr>
            <w:tcW w:type="dxa" w:w="2736"/>
            <w:vAlign w:val="top"/>
          </w:tcPr>
          <w:p>
            <w:pPr>
              <w:spacing w:after="0"/>
            </w:pPr>
            <w:r/>
            <w:r>
              <w:rPr>
                <w:rFonts w:ascii="Aptos" w:hAnsi="Aptos" w:eastAsia="Aptos"/>
                <w:b w:val="0"/>
                <w:sz w:val="18"/>
              </w:rPr>
              <w:t>Usually applied between ion source and RFQ, not immediately before a cyclotron inflector.</w:t>
            </w:r>
          </w:p>
        </w:tc>
      </w:tr>
      <w:tr>
        <w:tc>
          <w:tcPr>
            <w:tcW w:type="dxa" w:w="2448"/>
            <w:vAlign w:val="top"/>
          </w:tcPr>
          <w:p>
            <w:pPr>
              <w:spacing w:after="0"/>
            </w:pPr>
            <w:r/>
            <w:r>
              <w:rPr>
                <w:rFonts w:ascii="Aptos" w:hAnsi="Aptos" w:eastAsia="Aptos"/>
                <w:b w:val="0"/>
                <w:sz w:val="18"/>
              </w:rPr>
              <w:t>Electron columns / electron lenses</w:t>
            </w:r>
          </w:p>
        </w:tc>
        <w:tc>
          <w:tcPr>
            <w:tcW w:type="dxa" w:w="2880"/>
            <w:vAlign w:val="top"/>
          </w:tcPr>
          <w:p>
            <w:pPr>
              <w:spacing w:after="0"/>
            </w:pPr>
            <w:r/>
            <w:r>
              <w:rPr>
                <w:rFonts w:ascii="Aptos" w:hAnsi="Aptos" w:eastAsia="Aptos"/>
                <w:b w:val="0"/>
                <w:sz w:val="18"/>
              </w:rPr>
              <w:t>Electrons are trapped in a solenoid with end electrodes to compensate space charge or provide focusing.</w:t>
            </w:r>
          </w:p>
        </w:tc>
        <w:tc>
          <w:tcPr>
            <w:tcW w:type="dxa" w:w="2880"/>
            <w:vAlign w:val="top"/>
          </w:tcPr>
          <w:p>
            <w:pPr>
              <w:spacing w:after="0"/>
            </w:pPr>
            <w:r/>
            <w:r>
              <w:rPr>
                <w:rFonts w:ascii="Aptos" w:hAnsi="Aptos" w:eastAsia="Aptos"/>
                <w:b w:val="0"/>
                <w:sz w:val="18"/>
              </w:rPr>
              <w:t>Closest hardware blueprint: solenoid plus electrode confinement of ionization electrons.</w:t>
            </w:r>
          </w:p>
        </w:tc>
        <w:tc>
          <w:tcPr>
            <w:tcW w:type="dxa" w:w="2736"/>
            <w:vAlign w:val="top"/>
          </w:tcPr>
          <w:p>
            <w:pPr>
              <w:spacing w:after="0"/>
            </w:pPr>
            <w:r/>
            <w:r>
              <w:rPr>
                <w:rFonts w:ascii="Aptos" w:hAnsi="Aptos" w:eastAsia="Aptos"/>
                <w:b w:val="0"/>
                <w:sz w:val="18"/>
              </w:rPr>
              <w:t>Often developed for rings or test facilities; multipass dynamics differ from single-pass axial injection.</w:t>
            </w:r>
          </w:p>
        </w:tc>
      </w:tr>
      <w:tr>
        <w:tc>
          <w:tcPr>
            <w:tcW w:type="dxa" w:w="2448"/>
            <w:vAlign w:val="top"/>
          </w:tcPr>
          <w:p>
            <w:pPr>
              <w:spacing w:after="0"/>
            </w:pPr>
            <w:r/>
            <w:r>
              <w:rPr>
                <w:rFonts w:ascii="Aptos" w:hAnsi="Aptos" w:eastAsia="Aptos"/>
                <w:b w:val="0"/>
                <w:sz w:val="18"/>
              </w:rPr>
              <w:t>Gabor plasma lenses</w:t>
            </w:r>
          </w:p>
        </w:tc>
        <w:tc>
          <w:tcPr>
            <w:tcW w:type="dxa" w:w="2880"/>
            <w:vAlign w:val="top"/>
          </w:tcPr>
          <w:p>
            <w:pPr>
              <w:spacing w:after="0"/>
            </w:pPr>
            <w:r/>
            <w:r>
              <w:rPr>
                <w:rFonts w:ascii="Aptos" w:hAnsi="Aptos" w:eastAsia="Aptos"/>
                <w:b w:val="0"/>
                <w:sz w:val="18"/>
              </w:rPr>
              <w:t>Nonneutral electron cloud confined by B-field and electrostatic potentials creates focusing fields.</w:t>
            </w:r>
          </w:p>
        </w:tc>
        <w:tc>
          <w:tcPr>
            <w:tcW w:type="dxa" w:w="2880"/>
            <w:vAlign w:val="top"/>
          </w:tcPr>
          <w:p>
            <w:pPr>
              <w:spacing w:after="0"/>
            </w:pPr>
            <w:r/>
            <w:r>
              <w:rPr>
                <w:rFonts w:ascii="Aptos" w:hAnsi="Aptos" w:eastAsia="Aptos"/>
                <w:b w:val="0"/>
                <w:sz w:val="18"/>
              </w:rPr>
              <w:t>Similar compact plasma/electrode hardware and stability issues.</w:t>
            </w:r>
          </w:p>
        </w:tc>
        <w:tc>
          <w:tcPr>
            <w:tcW w:type="dxa" w:w="2736"/>
            <w:vAlign w:val="top"/>
          </w:tcPr>
          <w:p>
            <w:pPr>
              <w:spacing w:after="0"/>
            </w:pPr>
            <w:r/>
            <w:r>
              <w:rPr>
                <w:rFonts w:ascii="Aptos" w:hAnsi="Aptos" w:eastAsia="Aptos"/>
                <w:b w:val="0"/>
                <w:sz w:val="18"/>
              </w:rPr>
              <w:t>Aims for active focusing, often with external electron/plasma source; proposed module aims for neutralization, not strong lensing.</w:t>
            </w:r>
          </w:p>
        </w:tc>
      </w:tr>
      <w:tr>
        <w:tc>
          <w:tcPr>
            <w:tcW w:type="dxa" w:w="2448"/>
            <w:vAlign w:val="top"/>
          </w:tcPr>
          <w:p>
            <w:pPr>
              <w:spacing w:after="0"/>
            </w:pPr>
            <w:r/>
            <w:r>
              <w:rPr>
                <w:rFonts w:ascii="Aptos" w:hAnsi="Aptos" w:eastAsia="Aptos"/>
                <w:b w:val="0"/>
                <w:sz w:val="18"/>
              </w:rPr>
              <w:t>Neutralized drift compression</w:t>
            </w:r>
          </w:p>
        </w:tc>
        <w:tc>
          <w:tcPr>
            <w:tcW w:type="dxa" w:w="2880"/>
            <w:vAlign w:val="top"/>
          </w:tcPr>
          <w:p>
            <w:pPr>
              <w:spacing w:after="0"/>
            </w:pPr>
            <w:r/>
            <w:r>
              <w:rPr>
                <w:rFonts w:ascii="Aptos" w:hAnsi="Aptos" w:eastAsia="Aptos"/>
                <w:b w:val="0"/>
                <w:sz w:val="18"/>
              </w:rPr>
              <w:t>Preformed dense plasma neutralizes beam for compression.</w:t>
            </w:r>
          </w:p>
        </w:tc>
        <w:tc>
          <w:tcPr>
            <w:tcW w:type="dxa" w:w="2880"/>
            <w:vAlign w:val="top"/>
          </w:tcPr>
          <w:p>
            <w:pPr>
              <w:spacing w:after="0"/>
            </w:pPr>
            <w:r/>
            <w:r>
              <w:rPr>
                <w:rFonts w:ascii="Aptos" w:hAnsi="Aptos" w:eastAsia="Aptos"/>
                <w:b w:val="0"/>
                <w:sz w:val="18"/>
              </w:rPr>
              <w:t>Demonstrates what full neutralization can do for intense beams.</w:t>
            </w:r>
          </w:p>
        </w:tc>
        <w:tc>
          <w:tcPr>
            <w:tcW w:type="dxa" w:w="2736"/>
            <w:vAlign w:val="top"/>
          </w:tcPr>
          <w:p>
            <w:pPr>
              <w:spacing w:after="0"/>
            </w:pPr>
            <w:r/>
            <w:r>
              <w:rPr>
                <w:rFonts w:ascii="Aptos" w:hAnsi="Aptos" w:eastAsia="Aptos"/>
                <w:b w:val="0"/>
                <w:sz w:val="18"/>
              </w:rPr>
              <w:t>Pressure and plasma density are much higher and not compatible with cyclotron tank constraints.</w:t>
            </w:r>
          </w:p>
        </w:tc>
      </w:tr>
      <w:tr>
        <w:tc>
          <w:tcPr>
            <w:tcW w:type="dxa" w:w="2448"/>
            <w:vAlign w:val="top"/>
          </w:tcPr>
          <w:p>
            <w:pPr>
              <w:spacing w:after="0"/>
            </w:pPr>
            <w:r/>
            <w:r>
              <w:rPr>
                <w:rFonts w:ascii="Aptos" w:hAnsi="Aptos" w:eastAsia="Aptos"/>
                <w:b w:val="0"/>
                <w:sz w:val="18"/>
              </w:rPr>
              <w:t>Cyclotron axial-line neutralization studies</w:t>
            </w:r>
          </w:p>
        </w:tc>
        <w:tc>
          <w:tcPr>
            <w:tcW w:type="dxa" w:w="2880"/>
            <w:vAlign w:val="top"/>
          </w:tcPr>
          <w:p>
            <w:pPr>
              <w:spacing w:after="0"/>
            </w:pPr>
            <w:r/>
            <w:r>
              <w:rPr>
                <w:rFonts w:ascii="Aptos" w:hAnsi="Aptos" w:eastAsia="Aptos"/>
                <w:b w:val="0"/>
                <w:sz w:val="18"/>
              </w:rPr>
              <w:t>Axial injection designs sometimes assume or model residual-gas neutralization.</w:t>
            </w:r>
          </w:p>
        </w:tc>
        <w:tc>
          <w:tcPr>
            <w:tcW w:type="dxa" w:w="2880"/>
            <w:vAlign w:val="top"/>
          </w:tcPr>
          <w:p>
            <w:pPr>
              <w:spacing w:after="0"/>
            </w:pPr>
            <w:r/>
            <w:r>
              <w:rPr>
                <w:rFonts w:ascii="Aptos" w:hAnsi="Aptos" w:eastAsia="Aptos"/>
                <w:b w:val="0"/>
                <w:sz w:val="18"/>
              </w:rPr>
              <w:t>Shows neutralization is a recognized design knob in cyclotron injection.</w:t>
            </w:r>
          </w:p>
        </w:tc>
        <w:tc>
          <w:tcPr>
            <w:tcW w:type="dxa" w:w="2736"/>
            <w:vAlign w:val="top"/>
          </w:tcPr>
          <w:p>
            <w:pPr>
              <w:spacing w:after="0"/>
            </w:pPr>
            <w:r/>
            <w:r>
              <w:rPr>
                <w:rFonts w:ascii="Aptos" w:hAnsi="Aptos" w:eastAsia="Aptos"/>
                <w:b w:val="0"/>
                <w:sz w:val="18"/>
              </w:rPr>
              <w:t>Dedicated compact plasma-column module ahead of inflector appears less documented and may be the novelty.</w:t>
            </w:r>
          </w:p>
        </w:tc>
      </w:tr>
    </w:tbl>
    <w:p/>
    <w:p>
      <w:r>
        <w:t>The likely novelty is therefore not the existence of residual-gas SCC, nor the existence of plasma/electron columns. The novelty is the cyclotron-specific integration: a short, differentially pumped, self-ionized plasma column placed immediately upstream of the spiral inflector, optionally using Kr fast-start seeding, with low-voltage electron confinement and strict tank-vacuum protection.</w:t>
      </w:r>
    </w:p>
    <w:p>
      <w:pPr>
        <w:pStyle w:val="Heading1"/>
      </w:pPr>
      <w:r>
        <w:t>9. Risks, Open Issues, and Required Corrections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pPr>
              <w:spacing w:after="0"/>
            </w:pPr>
            <w:r/>
            <w:r>
              <w:rPr>
                <w:rFonts w:ascii="Aptos" w:hAnsi="Aptos" w:eastAsia="Aptos"/>
                <w:b/>
                <w:sz w:val="18"/>
              </w:rPr>
              <w:t>Issue</w:t>
            </w:r>
          </w:p>
        </w:tc>
        <w:tc>
          <w:tcPr>
            <w:tcW w:type="dxa" w:w="3744"/>
            <w:shd w:fill="D9EAF7"/>
            <w:vAlign w:val="center"/>
          </w:tcPr>
          <w:p>
            <w:pPr>
              <w:spacing w:after="0"/>
            </w:pPr>
            <w:r/>
            <w:r>
              <w:rPr>
                <w:rFonts w:ascii="Aptos" w:hAnsi="Aptos" w:eastAsia="Aptos"/>
                <w:b/>
                <w:sz w:val="18"/>
              </w:rPr>
              <w:t>Why it matters</w:t>
            </w:r>
          </w:p>
        </w:tc>
        <w:tc>
          <w:tcPr>
            <w:tcW w:type="dxa" w:w="4176"/>
            <w:shd w:fill="D9EAF7"/>
            <w:vAlign w:val="center"/>
          </w:tcPr>
          <w:p>
            <w:pPr>
              <w:spacing w:after="0"/>
            </w:pPr>
            <w:r/>
            <w:r>
              <w:rPr>
                <w:rFonts w:ascii="Aptos" w:hAnsi="Aptos" w:eastAsia="Aptos"/>
                <w:b/>
                <w:sz w:val="18"/>
              </w:rPr>
              <w:t>Recommended action</w:t>
            </w:r>
          </w:p>
        </w:tc>
      </w:tr>
      <w:tr>
        <w:tc>
          <w:tcPr>
            <w:tcW w:type="dxa" w:w="2592"/>
            <w:vAlign w:val="top"/>
          </w:tcPr>
          <w:p>
            <w:pPr>
              <w:spacing w:after="0"/>
            </w:pPr>
            <w:r/>
            <w:r>
              <w:rPr>
                <w:rFonts w:ascii="Aptos" w:hAnsi="Aptos" w:eastAsia="Aptos"/>
                <w:b w:val="0"/>
                <w:sz w:val="18"/>
              </w:rPr>
              <w:t>End-electrode polarity inconsistency</w:t>
            </w:r>
          </w:p>
        </w:tc>
        <w:tc>
          <w:tcPr>
            <w:tcW w:type="dxa" w:w="3744"/>
            <w:vAlign w:val="top"/>
          </w:tcPr>
          <w:p>
            <w:pPr>
              <w:spacing w:after="0"/>
            </w:pPr>
            <w:r/>
            <w:r>
              <w:rPr>
                <w:rFonts w:ascii="Aptos" w:hAnsi="Aptos" w:eastAsia="Aptos"/>
                <w:b w:val="0"/>
                <w:sz w:val="18"/>
              </w:rPr>
              <w:t>Positive bias attracts electrons under the common grounded-pipe convention, while negative endcaps confine electrons.</w:t>
            </w:r>
          </w:p>
        </w:tc>
        <w:tc>
          <w:tcPr>
            <w:tcW w:type="dxa" w:w="4176"/>
            <w:vAlign w:val="top"/>
          </w:tcPr>
          <w:p>
            <w:pPr>
              <w:spacing w:after="0"/>
            </w:pPr>
            <w:r/>
            <w:r>
              <w:rPr>
                <w:rFonts w:ascii="Aptos" w:hAnsi="Aptos" w:eastAsia="Aptos"/>
                <w:b w:val="0"/>
                <w:sz w:val="18"/>
              </w:rPr>
              <w:t>Resolve sign convention in drawings, controls, and publication text. Specify potential profile, not only voltage sign.</w:t>
            </w:r>
          </w:p>
        </w:tc>
      </w:tr>
      <w:tr>
        <w:tc>
          <w:tcPr>
            <w:tcW w:type="dxa" w:w="2592"/>
            <w:vAlign w:val="top"/>
          </w:tcPr>
          <w:p>
            <w:pPr>
              <w:spacing w:after="0"/>
            </w:pPr>
            <w:r/>
            <w:r>
              <w:rPr>
                <w:rFonts w:ascii="Aptos" w:hAnsi="Aptos" w:eastAsia="Aptos"/>
                <w:b w:val="0"/>
                <w:sz w:val="18"/>
              </w:rPr>
              <w:t>H- stripping</w:t>
            </w:r>
          </w:p>
        </w:tc>
        <w:tc>
          <w:tcPr>
            <w:tcW w:type="dxa" w:w="3744"/>
            <w:vAlign w:val="top"/>
          </w:tcPr>
          <w:p>
            <w:pPr>
              <w:spacing w:after="0"/>
            </w:pPr>
            <w:r/>
            <w:r>
              <w:rPr>
                <w:rFonts w:ascii="Aptos" w:hAnsi="Aptos" w:eastAsia="Aptos"/>
                <w:b w:val="0"/>
                <w:sz w:val="18"/>
              </w:rPr>
              <w:t>Plasma/gas may strip H- quickly; most compact medical cyclotrons are H-.</w:t>
            </w:r>
          </w:p>
        </w:tc>
        <w:tc>
          <w:tcPr>
            <w:tcW w:type="dxa" w:w="4176"/>
            <w:vAlign w:val="top"/>
          </w:tcPr>
          <w:p>
            <w:pPr>
              <w:spacing w:after="0"/>
            </w:pPr>
            <w:r/>
            <w:r>
              <w:rPr>
                <w:rFonts w:ascii="Aptos" w:hAnsi="Aptos" w:eastAsia="Aptos"/>
                <w:b w:val="0"/>
                <w:sz w:val="18"/>
              </w:rPr>
              <w:t>Limit proposal to proton injection unless H- stripping is quantitatively evaluated and acceptable.</w:t>
            </w:r>
          </w:p>
        </w:tc>
      </w:tr>
      <w:tr>
        <w:tc>
          <w:tcPr>
            <w:tcW w:type="dxa" w:w="2592"/>
            <w:vAlign w:val="top"/>
          </w:tcPr>
          <w:p>
            <w:pPr>
              <w:spacing w:after="0"/>
            </w:pPr>
            <w:r/>
            <w:r>
              <w:rPr>
                <w:rFonts w:ascii="Aptos" w:hAnsi="Aptos" w:eastAsia="Aptos"/>
                <w:b w:val="0"/>
                <w:sz w:val="18"/>
              </w:rPr>
              <w:t>Kr scattering and pump load</w:t>
            </w:r>
          </w:p>
        </w:tc>
        <w:tc>
          <w:tcPr>
            <w:tcW w:type="dxa" w:w="3744"/>
            <w:vAlign w:val="top"/>
          </w:tcPr>
          <w:p>
            <w:pPr>
              <w:spacing w:after="0"/>
            </w:pPr>
            <w:r/>
            <w:r>
              <w:rPr>
                <w:rFonts w:ascii="Aptos" w:hAnsi="Aptos" w:eastAsia="Aptos"/>
                <w:b w:val="0"/>
                <w:sz w:val="18"/>
              </w:rPr>
              <w:t>Kr improves ionization but increases multiple scattering, energy loss, and vacuum burden.</w:t>
            </w:r>
          </w:p>
        </w:tc>
        <w:tc>
          <w:tcPr>
            <w:tcW w:type="dxa" w:w="4176"/>
            <w:vAlign w:val="top"/>
          </w:tcPr>
          <w:p>
            <w:pPr>
              <w:spacing w:after="0"/>
            </w:pPr>
            <w:r/>
            <w:r>
              <w:rPr>
                <w:rFonts w:ascii="Aptos" w:hAnsi="Aptos" w:eastAsia="Aptos"/>
                <w:b w:val="0"/>
                <w:sz w:val="18"/>
              </w:rPr>
              <w:t>Use Kr as fast-start or commissioning gas; keep partial pressure minimal; quantify scattering with SRIM/Geant4 or beamline tracking.</w:t>
            </w:r>
          </w:p>
        </w:tc>
      </w:tr>
      <w:tr>
        <w:tc>
          <w:tcPr>
            <w:tcW w:type="dxa" w:w="2592"/>
            <w:vAlign w:val="top"/>
          </w:tcPr>
          <w:p>
            <w:pPr>
              <w:spacing w:after="0"/>
            </w:pPr>
            <w:r/>
            <w:r>
              <w:rPr>
                <w:rFonts w:ascii="Aptos" w:hAnsi="Aptos" w:eastAsia="Aptos"/>
                <w:b w:val="0"/>
                <w:sz w:val="18"/>
              </w:rPr>
              <w:t>Neutralization transition mismatch</w:t>
            </w:r>
          </w:p>
        </w:tc>
        <w:tc>
          <w:tcPr>
            <w:tcW w:type="dxa" w:w="3744"/>
            <w:vAlign w:val="top"/>
          </w:tcPr>
          <w:p>
            <w:pPr>
              <w:spacing w:after="0"/>
            </w:pPr>
            <w:r/>
            <w:r>
              <w:rPr>
                <w:rFonts w:ascii="Aptos" w:hAnsi="Aptos" w:eastAsia="Aptos"/>
                <w:b w:val="0"/>
                <w:sz w:val="18"/>
              </w:rPr>
              <w:t>Abrupt changes in f along the beamline can excite envelope oscillations.</w:t>
            </w:r>
          </w:p>
        </w:tc>
        <w:tc>
          <w:tcPr>
            <w:tcW w:type="dxa" w:w="4176"/>
            <w:vAlign w:val="top"/>
          </w:tcPr>
          <w:p>
            <w:pPr>
              <w:spacing w:after="0"/>
            </w:pPr>
            <w:r/>
            <w:r>
              <w:rPr>
                <w:rFonts w:ascii="Aptos" w:hAnsi="Aptos" w:eastAsia="Aptos"/>
                <w:b w:val="0"/>
                <w:sz w:val="18"/>
              </w:rPr>
              <w:t>Model longitudinal f(z,t) profile and use matching sections; scan pressure and bias experimentally.</w:t>
            </w:r>
          </w:p>
        </w:tc>
      </w:tr>
      <w:tr>
        <w:tc>
          <w:tcPr>
            <w:tcW w:type="dxa" w:w="2592"/>
            <w:vAlign w:val="top"/>
          </w:tcPr>
          <w:p>
            <w:pPr>
              <w:spacing w:after="0"/>
            </w:pPr>
            <w:r/>
            <w:r>
              <w:rPr>
                <w:rFonts w:ascii="Aptos" w:hAnsi="Aptos" w:eastAsia="Aptos"/>
                <w:b w:val="0"/>
                <w:sz w:val="18"/>
              </w:rPr>
              <w:t>Over-neutralization or uncontrolled focusing</w:t>
            </w:r>
          </w:p>
        </w:tc>
        <w:tc>
          <w:tcPr>
            <w:tcW w:type="dxa" w:w="3744"/>
            <w:vAlign w:val="top"/>
          </w:tcPr>
          <w:p>
            <w:pPr>
              <w:spacing w:after="0"/>
            </w:pPr>
            <w:r/>
            <w:r>
              <w:rPr>
                <w:rFonts w:ascii="Aptos" w:hAnsi="Aptos" w:eastAsia="Aptos"/>
                <w:b w:val="0"/>
                <w:sz w:val="18"/>
              </w:rPr>
              <w:t>Excess trapped charge can change optics and possibly create instabilities.</w:t>
            </w:r>
          </w:p>
        </w:tc>
        <w:tc>
          <w:tcPr>
            <w:tcW w:type="dxa" w:w="4176"/>
            <w:vAlign w:val="top"/>
          </w:tcPr>
          <w:p>
            <w:pPr>
              <w:spacing w:after="0"/>
            </w:pPr>
            <w:r/>
            <w:r>
              <w:rPr>
                <w:rFonts w:ascii="Aptos" w:hAnsi="Aptos" w:eastAsia="Aptos"/>
                <w:b w:val="0"/>
                <w:sz w:val="18"/>
              </w:rPr>
              <w:t>Measure profiles/emittance after the cell; avoid operating as an unintended Gabor lens.</w:t>
            </w:r>
          </w:p>
        </w:tc>
      </w:tr>
      <w:tr>
        <w:tc>
          <w:tcPr>
            <w:tcW w:type="dxa" w:w="2592"/>
            <w:vAlign w:val="top"/>
          </w:tcPr>
          <w:p>
            <w:pPr>
              <w:spacing w:after="0"/>
            </w:pPr>
            <w:r/>
            <w:r>
              <w:rPr>
                <w:rFonts w:ascii="Aptos" w:hAnsi="Aptos" w:eastAsia="Aptos"/>
                <w:b w:val="0"/>
                <w:sz w:val="18"/>
              </w:rPr>
              <w:t>Cyclotron fringe field</w:t>
            </w:r>
          </w:p>
        </w:tc>
        <w:tc>
          <w:tcPr>
            <w:tcW w:type="dxa" w:w="3744"/>
            <w:vAlign w:val="top"/>
          </w:tcPr>
          <w:p>
            <w:pPr>
              <w:spacing w:after="0"/>
            </w:pPr>
            <w:r/>
            <w:r>
              <w:rPr>
                <w:rFonts w:ascii="Aptos" w:hAnsi="Aptos" w:eastAsia="Aptos"/>
                <w:b w:val="0"/>
                <w:sz w:val="18"/>
              </w:rPr>
              <w:t>External cyclotron field can distort solenoid matching and electron confinement.</w:t>
            </w:r>
          </w:p>
        </w:tc>
        <w:tc>
          <w:tcPr>
            <w:tcW w:type="dxa" w:w="4176"/>
            <w:vAlign w:val="top"/>
          </w:tcPr>
          <w:p>
            <w:pPr>
              <w:spacing w:after="0"/>
            </w:pPr>
            <w:r/>
            <w:r>
              <w:rPr>
                <w:rFonts w:ascii="Aptos" w:hAnsi="Aptos" w:eastAsia="Aptos"/>
                <w:b w:val="0"/>
                <w:sz w:val="18"/>
              </w:rPr>
              <w:t>Measure 3D field map and include in tracking/PIC simulations; add trim coils if necessary.</w:t>
            </w:r>
          </w:p>
        </w:tc>
      </w:tr>
      <w:tr>
        <w:tc>
          <w:tcPr>
            <w:tcW w:type="dxa" w:w="2592"/>
            <w:vAlign w:val="top"/>
          </w:tcPr>
          <w:p>
            <w:pPr>
              <w:spacing w:after="0"/>
            </w:pPr>
            <w:r/>
            <w:r>
              <w:rPr>
                <w:rFonts w:ascii="Aptos" w:hAnsi="Aptos" w:eastAsia="Aptos"/>
                <w:b w:val="0"/>
                <w:sz w:val="18"/>
              </w:rPr>
              <w:t>Inflector HV stability</w:t>
            </w:r>
          </w:p>
        </w:tc>
        <w:tc>
          <w:tcPr>
            <w:tcW w:type="dxa" w:w="3744"/>
            <w:vAlign w:val="top"/>
          </w:tcPr>
          <w:p>
            <w:pPr>
              <w:spacing w:after="0"/>
            </w:pPr>
            <w:r/>
            <w:r>
              <w:rPr>
                <w:rFonts w:ascii="Aptos" w:hAnsi="Aptos" w:eastAsia="Aptos"/>
                <w:b w:val="0"/>
                <w:sz w:val="18"/>
              </w:rPr>
              <w:t>Gas and plasma near high-voltage electrodes can increase breakdown risk.</w:t>
            </w:r>
          </w:p>
        </w:tc>
        <w:tc>
          <w:tcPr>
            <w:tcW w:type="dxa" w:w="4176"/>
            <w:vAlign w:val="top"/>
          </w:tcPr>
          <w:p>
            <w:pPr>
              <w:spacing w:after="0"/>
            </w:pPr>
            <w:r/>
            <w:r>
              <w:rPr>
                <w:rFonts w:ascii="Aptos" w:hAnsi="Aptos" w:eastAsia="Aptos"/>
                <w:b w:val="0"/>
                <w:sz w:val="18"/>
              </w:rPr>
              <w:t>Place downstream orifice before inflector, interlock gas to HV trips, and verify vacuum margin.</w:t>
            </w:r>
          </w:p>
        </w:tc>
      </w:tr>
      <w:tr>
        <w:tc>
          <w:tcPr>
            <w:tcW w:type="dxa" w:w="2592"/>
            <w:vAlign w:val="top"/>
          </w:tcPr>
          <w:p>
            <w:pPr>
              <w:spacing w:after="0"/>
            </w:pPr>
            <w:r/>
            <w:r>
              <w:rPr>
                <w:rFonts w:ascii="Aptos" w:hAnsi="Aptos" w:eastAsia="Aptos"/>
                <w:b w:val="0"/>
                <w:sz w:val="18"/>
              </w:rPr>
              <w:t>Cross-section uncertainty</w:t>
            </w:r>
          </w:p>
        </w:tc>
        <w:tc>
          <w:tcPr>
            <w:tcW w:type="dxa" w:w="3744"/>
            <w:vAlign w:val="top"/>
          </w:tcPr>
          <w:p>
            <w:pPr>
              <w:spacing w:after="0"/>
            </w:pPr>
            <w:r/>
            <w:r>
              <w:rPr>
                <w:rFonts w:ascii="Aptos" w:hAnsi="Aptos" w:eastAsia="Aptos"/>
                <w:b w:val="0"/>
                <w:sz w:val="18"/>
              </w:rPr>
              <w:t>Ionization cross sections at 30 keV can vary by dataset and shell model.</w:t>
            </w:r>
          </w:p>
        </w:tc>
        <w:tc>
          <w:tcPr>
            <w:tcW w:type="dxa" w:w="4176"/>
            <w:vAlign w:val="top"/>
          </w:tcPr>
          <w:p>
            <w:pPr>
              <w:spacing w:after="0"/>
            </w:pPr>
            <w:r/>
            <w:r>
              <w:rPr>
                <w:rFonts w:ascii="Aptos" w:hAnsi="Aptos" w:eastAsia="Aptos"/>
                <w:b w:val="0"/>
                <w:sz w:val="18"/>
              </w:rPr>
              <w:t>Use measured/semi-empirical cross-section databases for final design; report uncertainty bands.</w:t>
            </w:r>
          </w:p>
        </w:tc>
      </w:tr>
    </w:tbl>
    <w:p/>
    <w:p>
      <w:pPr>
        <w:pStyle w:val="Heading1"/>
      </w:pPr>
      <w:r>
        <w:t>10. Recommended Modeling and Experimental Validation Program</w:t>
      </w:r>
    </w:p>
    <w:p>
      <w:pPr>
        <w:pStyle w:val="Heading2"/>
      </w:pPr>
      <w:r>
        <w:t>10.1 Analytic and reduced-order modeling</w:t>
      </w:r>
    </w:p>
    <w:p>
      <w:pPr>
        <w:pStyle w:val="ListBullet"/>
        <w:spacing w:after="60"/>
      </w:pPr>
      <w:r>
        <w:t>Build a 0D/1D neutralization model using gas pressure, species, cross sections, electron loss rate, end-electrode potential, and solenoid field as inputs.</w:t>
      </w:r>
    </w:p>
    <w:p>
      <w:pPr>
        <w:pStyle w:val="ListBullet"/>
        <w:spacing w:after="60"/>
      </w:pPr>
      <w:r>
        <w:t>Fit the effective loss rate nu_loss from measured transients; use this to estimate f_ss rather than assuming it.</w:t>
      </w:r>
    </w:p>
    <w:p>
      <w:pPr>
        <w:pStyle w:val="ListBullet"/>
        <w:spacing w:after="60"/>
      </w:pPr>
      <w:r>
        <w:t>Derive the neutralization profile f(z,t) for finite apertures, gas gradients, and differential-pumping conductances.</w:t>
      </w:r>
    </w:p>
    <w:p>
      <w:pPr>
        <w:pStyle w:val="ListBullet"/>
        <w:spacing w:after="60"/>
      </w:pPr>
      <w:r>
        <w:t>Use envelope models to estimate matching changes between unneutralized and neutralized operation.</w:t>
      </w:r>
    </w:p>
    <w:p>
      <w:pPr>
        <w:pStyle w:val="Heading2"/>
      </w:pPr>
      <w:r>
        <w:t>10.2 Particle tracking and PIC-MCC simulation</w:t>
      </w:r>
    </w:p>
    <w:p>
      <w:pPr>
        <w:pStyle w:val="ListBullet"/>
        <w:spacing w:after="60"/>
      </w:pPr>
      <w:r>
        <w:t>Start with envelope or macroparticle tracking using an imposed neutralization factor f to identify sensitivity of inflector transmission to f, beam radius, emittance, and Twiss mismatch.</w:t>
      </w:r>
    </w:p>
    <w:p>
      <w:pPr>
        <w:pStyle w:val="ListBullet"/>
        <w:spacing w:after="60"/>
      </w:pPr>
      <w:r>
        <w:t>Use PIC-MCC or equivalent simulation for the plasma cell to compute electron retention, ion accumulation, plasma potential, and time-dependent neutralization under realistic fields and apertures.</w:t>
      </w:r>
    </w:p>
    <w:p>
      <w:pPr>
        <w:pStyle w:val="ListBullet"/>
        <w:spacing w:after="60"/>
      </w:pPr>
      <w:r>
        <w:t>Include measured or realistic solenoid plus cyclotron fringe fields.</w:t>
      </w:r>
    </w:p>
    <w:p>
      <w:pPr>
        <w:pStyle w:val="ListBullet"/>
        <w:spacing w:after="60"/>
      </w:pPr>
      <w:r>
        <w:t>Couple the plasma-cell exit distribution into a 3D spiral-inflector field map and central-region tracking to evaluate actual capture, not only plasma-cell exit beam size.</w:t>
      </w:r>
    </w:p>
    <w:p>
      <w:pPr>
        <w:pStyle w:val="ListBullet"/>
        <w:spacing w:after="60"/>
      </w:pPr>
      <w:r>
        <w:t>Scan H2 and Kr pressures, bias voltages, field strengths, and beam currents to define a robust operating window.</w:t>
      </w:r>
    </w:p>
    <w:p>
      <w:pPr>
        <w:pStyle w:val="Heading2"/>
      </w:pPr>
      <w:r>
        <w:t>10.3 Experimental scans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pPr>
              <w:spacing w:after="0"/>
            </w:pPr>
            <w:r/>
            <w:r>
              <w:rPr>
                <w:rFonts w:ascii="Aptos" w:hAnsi="Aptos" w:eastAsia="Aptos"/>
                <w:b/>
                <w:sz w:val="18"/>
              </w:rPr>
              <w:t>Scan</w:t>
            </w:r>
          </w:p>
        </w:tc>
        <w:tc>
          <w:tcPr>
            <w:tcW w:type="dxa" w:w="4464"/>
            <w:shd w:fill="D9EAF7"/>
            <w:vAlign w:val="center"/>
          </w:tcPr>
          <w:p>
            <w:pPr>
              <w:spacing w:after="0"/>
            </w:pPr>
            <w:r/>
            <w:r>
              <w:rPr>
                <w:rFonts w:ascii="Aptos" w:hAnsi="Aptos" w:eastAsia="Aptos"/>
                <w:b/>
                <w:sz w:val="18"/>
              </w:rPr>
              <w:t>Primary observables</w:t>
            </w:r>
          </w:p>
        </w:tc>
        <w:tc>
          <w:tcPr>
            <w:tcW w:type="dxa" w:w="3600"/>
            <w:shd w:fill="D9EAF7"/>
            <w:vAlign w:val="center"/>
          </w:tcPr>
          <w:p>
            <w:pPr>
              <w:spacing w:after="0"/>
            </w:pPr>
            <w:r/>
            <w:r>
              <w:rPr>
                <w:rFonts w:ascii="Aptos" w:hAnsi="Aptos" w:eastAsia="Aptos"/>
                <w:b/>
                <w:sz w:val="18"/>
              </w:rPr>
              <w:t>Purpose</w:t>
            </w:r>
          </w:p>
        </w:tc>
      </w:tr>
      <w:tr>
        <w:tc>
          <w:tcPr>
            <w:tcW w:type="dxa" w:w="2448"/>
            <w:vAlign w:val="top"/>
          </w:tcPr>
          <w:p>
            <w:pPr>
              <w:spacing w:after="0"/>
            </w:pPr>
            <w:r/>
            <w:r>
              <w:rPr>
                <w:rFonts w:ascii="Aptos" w:hAnsi="Aptos" w:eastAsia="Aptos"/>
                <w:b w:val="0"/>
                <w:sz w:val="18"/>
              </w:rPr>
              <w:t>Pressure scan: H2</w:t>
            </w:r>
          </w:p>
        </w:tc>
        <w:tc>
          <w:tcPr>
            <w:tcW w:type="dxa" w:w="4464"/>
            <w:vAlign w:val="top"/>
          </w:tcPr>
          <w:p>
            <w:pPr>
              <w:spacing w:after="0"/>
            </w:pPr>
            <w:r/>
            <w:r>
              <w:rPr>
                <w:rFonts w:ascii="Aptos" w:hAnsi="Aptos" w:eastAsia="Aptos"/>
                <w:b w:val="0"/>
                <w:sz w:val="18"/>
              </w:rPr>
              <w:t>Beam size, current transmission, emittance, tank pressure, f(t) transient.</w:t>
            </w:r>
          </w:p>
        </w:tc>
        <w:tc>
          <w:tcPr>
            <w:tcW w:type="dxa" w:w="3600"/>
            <w:vAlign w:val="top"/>
          </w:tcPr>
          <w:p>
            <w:pPr>
              <w:spacing w:after="0"/>
            </w:pPr>
            <w:r/>
            <w:r>
              <w:rPr>
                <w:rFonts w:ascii="Aptos" w:hAnsi="Aptos" w:eastAsia="Aptos"/>
                <w:b w:val="0"/>
                <w:sz w:val="18"/>
              </w:rPr>
              <w:t>Verify SCC onset, steady compensation, and vacuum compatibility.</w:t>
            </w:r>
          </w:p>
        </w:tc>
      </w:tr>
      <w:tr>
        <w:tc>
          <w:tcPr>
            <w:tcW w:type="dxa" w:w="2448"/>
            <w:vAlign w:val="top"/>
          </w:tcPr>
          <w:p>
            <w:pPr>
              <w:spacing w:after="0"/>
            </w:pPr>
            <w:r/>
            <w:r>
              <w:rPr>
                <w:rFonts w:ascii="Aptos" w:hAnsi="Aptos" w:eastAsia="Aptos"/>
                <w:b w:val="0"/>
                <w:sz w:val="18"/>
              </w:rPr>
              <w:t>Kr partial-pressure scan</w:t>
            </w:r>
          </w:p>
        </w:tc>
        <w:tc>
          <w:tcPr>
            <w:tcW w:type="dxa" w:w="4464"/>
            <w:vAlign w:val="top"/>
          </w:tcPr>
          <w:p>
            <w:pPr>
              <w:spacing w:after="0"/>
            </w:pPr>
            <w:r/>
            <w:r>
              <w:rPr>
                <w:rFonts w:ascii="Aptos" w:hAnsi="Aptos" w:eastAsia="Aptos"/>
                <w:b w:val="0"/>
                <w:sz w:val="18"/>
              </w:rPr>
              <w:t>Turn-on time, beam-size transient, pressure recovery, inflector HV trips.</w:t>
            </w:r>
          </w:p>
        </w:tc>
        <w:tc>
          <w:tcPr>
            <w:tcW w:type="dxa" w:w="3600"/>
            <w:vAlign w:val="top"/>
          </w:tcPr>
          <w:p>
            <w:pPr>
              <w:spacing w:after="0"/>
            </w:pPr>
            <w:r/>
            <w:r>
              <w:rPr>
                <w:rFonts w:ascii="Aptos" w:hAnsi="Aptos" w:eastAsia="Aptos"/>
                <w:b w:val="0"/>
                <w:sz w:val="18"/>
              </w:rPr>
              <w:t>Test fast-start benefit and define minimum useful Kr dose.</w:t>
            </w:r>
          </w:p>
        </w:tc>
      </w:tr>
      <w:tr>
        <w:tc>
          <w:tcPr>
            <w:tcW w:type="dxa" w:w="2448"/>
            <w:vAlign w:val="top"/>
          </w:tcPr>
          <w:p>
            <w:pPr>
              <w:spacing w:after="0"/>
            </w:pPr>
            <w:r/>
            <w:r>
              <w:rPr>
                <w:rFonts w:ascii="Aptos" w:hAnsi="Aptos" w:eastAsia="Aptos"/>
                <w:b w:val="0"/>
                <w:sz w:val="18"/>
              </w:rPr>
              <w:t>End-electrode bias scan</w:t>
            </w:r>
          </w:p>
        </w:tc>
        <w:tc>
          <w:tcPr>
            <w:tcW w:type="dxa" w:w="4464"/>
            <w:vAlign w:val="top"/>
          </w:tcPr>
          <w:p>
            <w:pPr>
              <w:spacing w:after="0"/>
            </w:pPr>
            <w:r/>
            <w:r>
              <w:rPr>
                <w:rFonts w:ascii="Aptos" w:hAnsi="Aptos" w:eastAsia="Aptos"/>
                <w:b w:val="0"/>
                <w:sz w:val="18"/>
              </w:rPr>
              <w:t>Transmission, electrode currents, beam size, plasma light, emittance.</w:t>
            </w:r>
          </w:p>
        </w:tc>
        <w:tc>
          <w:tcPr>
            <w:tcW w:type="dxa" w:w="3600"/>
            <w:vAlign w:val="top"/>
          </w:tcPr>
          <w:p>
            <w:pPr>
              <w:spacing w:after="0"/>
            </w:pPr>
            <w:r/>
            <w:r>
              <w:rPr>
                <w:rFonts w:ascii="Aptos" w:hAnsi="Aptos" w:eastAsia="Aptos"/>
                <w:b w:val="0"/>
                <w:sz w:val="18"/>
              </w:rPr>
              <w:t>Optimize electron confinement and detect wrong polarity or over-clearing.</w:t>
            </w:r>
          </w:p>
        </w:tc>
      </w:tr>
      <w:tr>
        <w:tc>
          <w:tcPr>
            <w:tcW w:type="dxa" w:w="2448"/>
            <w:vAlign w:val="top"/>
          </w:tcPr>
          <w:p>
            <w:pPr>
              <w:spacing w:after="0"/>
            </w:pPr>
            <w:r/>
            <w:r>
              <w:rPr>
                <w:rFonts w:ascii="Aptos" w:hAnsi="Aptos" w:eastAsia="Aptos"/>
                <w:b w:val="0"/>
                <w:sz w:val="18"/>
              </w:rPr>
              <w:t>Solenoid field scan</w:t>
            </w:r>
          </w:p>
        </w:tc>
        <w:tc>
          <w:tcPr>
            <w:tcW w:type="dxa" w:w="4464"/>
            <w:vAlign w:val="top"/>
          </w:tcPr>
          <w:p>
            <w:pPr>
              <w:spacing w:after="0"/>
            </w:pPr>
            <w:r/>
            <w:r>
              <w:rPr>
                <w:rFonts w:ascii="Aptos" w:hAnsi="Aptos" w:eastAsia="Aptos"/>
                <w:b w:val="0"/>
                <w:sz w:val="18"/>
              </w:rPr>
              <w:t>Matching into inflector, beam centroid, envelope, transmission.</w:t>
            </w:r>
          </w:p>
        </w:tc>
        <w:tc>
          <w:tcPr>
            <w:tcW w:type="dxa" w:w="3600"/>
            <w:vAlign w:val="top"/>
          </w:tcPr>
          <w:p>
            <w:pPr>
              <w:spacing w:after="0"/>
            </w:pPr>
            <w:r/>
            <w:r>
              <w:rPr>
                <w:rFonts w:ascii="Aptos" w:hAnsi="Aptos" w:eastAsia="Aptos"/>
                <w:b w:val="0"/>
                <w:sz w:val="18"/>
              </w:rPr>
              <w:t>Separate magnetic focusing from plasma neutralization and optimize combined optics.</w:t>
            </w:r>
          </w:p>
        </w:tc>
      </w:tr>
      <w:tr>
        <w:tc>
          <w:tcPr>
            <w:tcW w:type="dxa" w:w="2448"/>
            <w:vAlign w:val="top"/>
          </w:tcPr>
          <w:p>
            <w:pPr>
              <w:spacing w:after="0"/>
            </w:pPr>
            <w:r/>
            <w:r>
              <w:rPr>
                <w:rFonts w:ascii="Aptos" w:hAnsi="Aptos" w:eastAsia="Aptos"/>
                <w:b w:val="0"/>
                <w:sz w:val="18"/>
              </w:rPr>
              <w:t>Beam-current scan</w:t>
            </w:r>
          </w:p>
        </w:tc>
        <w:tc>
          <w:tcPr>
            <w:tcW w:type="dxa" w:w="4464"/>
            <w:vAlign w:val="top"/>
          </w:tcPr>
          <w:p>
            <w:pPr>
              <w:spacing w:after="0"/>
            </w:pPr>
            <w:r/>
            <w:r>
              <w:rPr>
                <w:rFonts w:ascii="Aptos" w:hAnsi="Aptos" w:eastAsia="Aptos"/>
                <w:b w:val="0"/>
                <w:sz w:val="18"/>
              </w:rPr>
              <w:t>f_ss, envelope blow-up, loss, electrode current, gas load.</w:t>
            </w:r>
          </w:p>
        </w:tc>
        <w:tc>
          <w:tcPr>
            <w:tcW w:type="dxa" w:w="3600"/>
            <w:vAlign w:val="top"/>
          </w:tcPr>
          <w:p>
            <w:pPr>
              <w:spacing w:after="0"/>
            </w:pPr>
            <w:r/>
            <w:r>
              <w:rPr>
                <w:rFonts w:ascii="Aptos" w:hAnsi="Aptos" w:eastAsia="Aptos"/>
                <w:b w:val="0"/>
                <w:sz w:val="18"/>
              </w:rPr>
              <w:t>Determine high-current limit and current dependence of electron losses.</w:t>
            </w:r>
          </w:p>
        </w:tc>
      </w:tr>
      <w:tr>
        <w:tc>
          <w:tcPr>
            <w:tcW w:type="dxa" w:w="2448"/>
            <w:vAlign w:val="top"/>
          </w:tcPr>
          <w:p>
            <w:pPr>
              <w:spacing w:after="0"/>
            </w:pPr>
            <w:r/>
            <w:r>
              <w:rPr>
                <w:rFonts w:ascii="Aptos" w:hAnsi="Aptos" w:eastAsia="Aptos"/>
                <w:b w:val="0"/>
                <w:sz w:val="18"/>
              </w:rPr>
              <w:t>Pulsed/ramped-beam scan</w:t>
            </w:r>
          </w:p>
        </w:tc>
        <w:tc>
          <w:tcPr>
            <w:tcW w:type="dxa" w:w="4464"/>
            <w:vAlign w:val="top"/>
          </w:tcPr>
          <w:p>
            <w:pPr>
              <w:spacing w:after="0"/>
            </w:pPr>
            <w:r/>
            <w:r>
              <w:rPr>
                <w:rFonts w:ascii="Aptos" w:hAnsi="Aptos" w:eastAsia="Aptos"/>
                <w:b w:val="0"/>
                <w:sz w:val="18"/>
              </w:rPr>
              <w:t>Sub-ms transient, first-pulse transmission, recovery between pulses.</w:t>
            </w:r>
          </w:p>
        </w:tc>
        <w:tc>
          <w:tcPr>
            <w:tcW w:type="dxa" w:w="3600"/>
            <w:vAlign w:val="top"/>
          </w:tcPr>
          <w:p>
            <w:pPr>
              <w:spacing w:after="0"/>
            </w:pPr>
            <w:r/>
            <w:r>
              <w:rPr>
                <w:rFonts w:ascii="Aptos" w:hAnsi="Aptos" w:eastAsia="Aptos"/>
                <w:b w:val="0"/>
                <w:sz w:val="18"/>
              </w:rPr>
              <w:t>Demonstrate Kr advantage for non-CW operation.</w:t>
            </w:r>
          </w:p>
        </w:tc>
      </w:tr>
    </w:tbl>
    <w:p/>
    <w:p>
      <w:pPr>
        <w:pStyle w:val="Heading2"/>
      </w:pPr>
      <w:r>
        <w:t>10.4 Diagnostics priority list</w:t>
      </w:r>
    </w:p>
    <w:p>
      <w:pPr>
        <w:pStyle w:val="ListNumber"/>
        <w:spacing w:after="60"/>
      </w:pPr>
      <w:r>
        <w:t>Beam current monitors upstream and downstream of the module to measure transmission directly.</w:t>
      </w:r>
    </w:p>
    <w:p>
      <w:pPr>
        <w:pStyle w:val="ListNumber"/>
        <w:spacing w:after="60"/>
      </w:pPr>
      <w:r>
        <w:t>Profile screen or wire scanner immediately downstream of the module, plus at least one downstream monitor near the inflector entrance if space permits.</w:t>
      </w:r>
    </w:p>
    <w:p>
      <w:pPr>
        <w:pStyle w:val="ListNumber"/>
        <w:spacing w:after="60"/>
      </w:pPr>
      <w:r>
        <w:t>Emittance measurement before and after the module for quantitative compensation assessment.</w:t>
      </w:r>
    </w:p>
    <w:p>
      <w:pPr>
        <w:pStyle w:val="ListNumber"/>
        <w:spacing w:after="60"/>
      </w:pPr>
      <w:r>
        <w:t>Fast current transformer or time-resolved profile signal for neutralization build-up in pulsed operation.</w:t>
      </w:r>
    </w:p>
    <w:p>
      <w:pPr>
        <w:pStyle w:val="ListNumber"/>
        <w:spacing w:after="60"/>
      </w:pPr>
      <w:r>
        <w:t>RGA and local pressure gauges to distinguish H2, Kr, and outgassing contributions.</w:t>
      </w:r>
    </w:p>
    <w:p>
      <w:pPr>
        <w:pStyle w:val="ListNumber"/>
        <w:spacing w:after="60"/>
      </w:pPr>
      <w:r>
        <w:t>Electrode current monitoring to infer electron/ion collection and validate the bias model.</w:t>
      </w:r>
    </w:p>
    <w:p>
      <w:pPr>
        <w:pStyle w:val="ListNumber"/>
        <w:spacing w:after="60"/>
      </w:pPr>
      <w:r>
        <w:t>3D magnetic-field mapping of the solenoid plus cyclotron fringe environment.</w:t>
      </w:r>
    </w:p>
    <w:p>
      <w:pPr>
        <w:pStyle w:val="Heading1"/>
      </w:pPr>
      <w:r>
        <w:t>11. Suggested Scientific Framing for IPAC 2026</w:t>
      </w:r>
    </w:p>
    <w:p>
      <w:r>
        <w:t>The most defensible presentation framing is:</w:t>
      </w:r>
    </w:p>
    <w:p>
      <w:pPr>
        <w:pStyle w:val="ListBullet"/>
        <w:spacing w:after="60"/>
      </w:pPr>
      <w:r>
        <w:t>Problem: space-charge-dominated low-energy axial injection limits compact cyclotron current and spiral-inflector transmission.</w:t>
      </w:r>
    </w:p>
    <w:p>
      <w:pPr>
        <w:pStyle w:val="ListBullet"/>
        <w:spacing w:after="60"/>
      </w:pPr>
      <w:r>
        <w:t>Concept: a compact, self-ionized plasma column placed immediately upstream of the inflector provides local SCC without requiring a high-current discharge plasma lens.</w:t>
      </w:r>
    </w:p>
    <w:p>
      <w:pPr>
        <w:pStyle w:val="ListBullet"/>
        <w:spacing w:after="60"/>
      </w:pPr>
      <w:r>
        <w:t>Physics result: at 30 keV and 1e-5 torr, H2 can reach sub-0.1 ms neutralization time constants, while Kr provides approximately five-times faster transient response.</w:t>
      </w:r>
    </w:p>
    <w:p>
      <w:pPr>
        <w:pStyle w:val="ListBullet"/>
        <w:spacing w:after="60"/>
      </w:pPr>
      <w:r>
        <w:t>Beam-dynamics consequence: partial neutralization reduces effective perveance, suppresses envelope blow-up, and can increase inflector transmission if the downstream optics are re-matched.</w:t>
      </w:r>
    </w:p>
    <w:p>
      <w:pPr>
        <w:pStyle w:val="ListBullet"/>
        <w:spacing w:after="60"/>
      </w:pPr>
      <w:r>
        <w:t>Engineering result: a 0.1-0.3 m module with 0.1-0.2 T solenoid, local gas cell, low-voltage end electrodes, and differential pumping is compatible with compact axial-injection constraints in principle.</w:t>
      </w:r>
    </w:p>
    <w:p>
      <w:pPr>
        <w:pStyle w:val="ListBullet"/>
        <w:spacing w:after="60"/>
      </w:pPr>
      <w:r>
        <w:t>Validation plan: pressure, gas-species, bias, and solenoid-field scans combined with PIC-MCC and 3D inflector tracking.</w:t>
      </w:r>
    </w:p>
    <w:p>
      <w:pPr>
        <w:pStyle w:val="NoteBox"/>
      </w:pPr>
      <w:r>
        <w:rPr>
          <w:b/>
        </w:rPr>
        <w:t xml:space="preserve">Recommended wording change. </w:t>
      </w:r>
      <w:r>
        <w:t>Use "plasma-column-assisted space-charge compensation" or "beam-ionized plasma-column neutralization" rather than "plasma lens" unless the study intentionally demonstrates controlled focusing beyond SCC. This avoids overclaiming and distinguishes the concept from current-carrying plasma lenses and Gabor lenses.</w:t>
      </w:r>
    </w:p>
    <w:p>
      <w:pPr>
        <w:pStyle w:val="Heading1"/>
      </w:pPr>
      <w:r>
        <w:t>12. Source Mapping and Traceability</w:t>
      </w:r>
    </w:p>
    <w:tbl>
      <w:tblPr>
        <w:tblStyle w:val="TableGrid"/>
        <w:tblW w:type="auto" w:w="0"/>
        <w:jc w:val="center"/>
        <w:tblLook w:firstColumn="1" w:firstRow="1" w:lastColumn="0" w:lastRow="0" w:noHBand="0" w:noVBand="1" w:val="04A0"/>
      </w:tblPr>
      <w:tblGrid>
        <w:gridCol w:w="4968"/>
        <w:gridCol w:w="4968"/>
      </w:tblGrid>
      <w:tr>
        <w:tc>
          <w:tcPr>
            <w:tcW w:type="dxa" w:w="5472"/>
            <w:shd w:fill="D9EAF7"/>
            <w:vAlign w:val="center"/>
          </w:tcPr>
          <w:p>
            <w:pPr>
              <w:spacing w:after="0"/>
            </w:pPr>
            <w:r/>
            <w:r>
              <w:rPr>
                <w:rFonts w:ascii="Aptos" w:hAnsi="Aptos" w:eastAsia="Aptos"/>
                <w:b/>
                <w:sz w:val="18"/>
              </w:rPr>
              <w:t>Topic in this document</w:t>
            </w:r>
          </w:p>
        </w:tc>
        <w:tc>
          <w:tcPr>
            <w:tcW w:type="dxa" w:w="4608"/>
            <w:shd w:fill="D9EAF7"/>
            <w:vAlign w:val="center"/>
          </w:tcPr>
          <w:p>
            <w:pPr>
              <w:spacing w:after="0"/>
            </w:pPr>
            <w:r/>
            <w:r>
              <w:rPr>
                <w:rFonts w:ascii="Aptos" w:hAnsi="Aptos" w:eastAsia="Aptos"/>
                <w:b/>
                <w:sz w:val="18"/>
              </w:rPr>
              <w:t>Main source files</w:t>
            </w:r>
          </w:p>
        </w:tc>
      </w:tr>
      <w:tr>
        <w:tc>
          <w:tcPr>
            <w:tcW w:type="dxa" w:w="5472"/>
            <w:vAlign w:val="top"/>
          </w:tcPr>
          <w:p>
            <w:pPr>
              <w:spacing w:after="0"/>
            </w:pPr>
            <w:r/>
            <w:r>
              <w:rPr>
                <w:rFonts w:ascii="Aptos" w:hAnsi="Aptos" w:eastAsia="Aptos"/>
                <w:b w:val="0"/>
                <w:sz w:val="18"/>
              </w:rPr>
              <w:t>Low-energy space-charge scaling, perveance, tune depression, longitudinal bunch lengthening</w:t>
            </w:r>
          </w:p>
        </w:tc>
        <w:tc>
          <w:tcPr>
            <w:tcW w:type="dxa" w:w="4608"/>
            <w:vAlign w:val="top"/>
          </w:tcPr>
          <w:p>
            <w:pPr>
              <w:spacing w:after="0"/>
            </w:pPr>
            <w:r/>
            <w:r>
              <w:rPr>
                <w:rFonts w:ascii="Aptos" w:hAnsi="Aptos" w:eastAsia="Aptos"/>
                <w:b w:val="0"/>
                <w:sz w:val="18"/>
              </w:rPr>
              <w:t>S1</w:t>
            </w:r>
          </w:p>
        </w:tc>
      </w:tr>
      <w:tr>
        <w:tc>
          <w:tcPr>
            <w:tcW w:type="dxa" w:w="5472"/>
            <w:vAlign w:val="top"/>
          </w:tcPr>
          <w:p>
            <w:pPr>
              <w:spacing w:after="0"/>
            </w:pPr>
            <w:r/>
            <w:r>
              <w:rPr>
                <w:rFonts w:ascii="Aptos" w:hAnsi="Aptos" w:eastAsia="Aptos"/>
                <w:b w:val="0"/>
                <w:sz w:val="18"/>
              </w:rPr>
              <w:t>Inflector acceptance and estimated transmission bottleneck</w:t>
            </w:r>
          </w:p>
        </w:tc>
        <w:tc>
          <w:tcPr>
            <w:tcW w:type="dxa" w:w="4608"/>
            <w:vAlign w:val="top"/>
          </w:tcPr>
          <w:p>
            <w:pPr>
              <w:spacing w:after="0"/>
            </w:pPr>
            <w:r/>
            <w:r>
              <w:rPr>
                <w:rFonts w:ascii="Aptos" w:hAnsi="Aptos" w:eastAsia="Aptos"/>
                <w:b w:val="0"/>
                <w:sz w:val="18"/>
              </w:rPr>
              <w:t>S1</w:t>
            </w:r>
          </w:p>
        </w:tc>
      </w:tr>
      <w:tr>
        <w:tc>
          <w:tcPr>
            <w:tcW w:type="dxa" w:w="5472"/>
            <w:vAlign w:val="top"/>
          </w:tcPr>
          <w:p>
            <w:pPr>
              <w:spacing w:after="0"/>
            </w:pPr>
            <w:r/>
            <w:r>
              <w:rPr>
                <w:rFonts w:ascii="Aptos" w:hAnsi="Aptos" w:eastAsia="Aptos"/>
                <w:b w:val="0"/>
                <w:sz w:val="18"/>
              </w:rPr>
              <w:t>Beam-ionized plasma production, H2 and Kr cross sections, neutralization time constants</w:t>
            </w:r>
          </w:p>
        </w:tc>
        <w:tc>
          <w:tcPr>
            <w:tcW w:type="dxa" w:w="4608"/>
            <w:vAlign w:val="top"/>
          </w:tcPr>
          <w:p>
            <w:pPr>
              <w:spacing w:after="0"/>
            </w:pPr>
            <w:r/>
            <w:r>
              <w:rPr>
                <w:rFonts w:ascii="Aptos" w:hAnsi="Aptos" w:eastAsia="Aptos"/>
                <w:b w:val="0"/>
                <w:sz w:val="18"/>
              </w:rPr>
              <w:t>S2</w:t>
            </w:r>
          </w:p>
        </w:tc>
      </w:tr>
      <w:tr>
        <w:tc>
          <w:tcPr>
            <w:tcW w:type="dxa" w:w="5472"/>
            <w:vAlign w:val="top"/>
          </w:tcPr>
          <w:p>
            <w:pPr>
              <w:spacing w:after="0"/>
            </w:pPr>
            <w:r/>
            <w:r>
              <w:rPr>
                <w:rFonts w:ascii="Aptos" w:hAnsi="Aptos" w:eastAsia="Aptos"/>
                <w:b w:val="0"/>
                <w:sz w:val="18"/>
              </w:rPr>
              <w:t>Electron magnetization, Debye length, beam potential, bias voltage scale</w:t>
            </w:r>
          </w:p>
        </w:tc>
        <w:tc>
          <w:tcPr>
            <w:tcW w:type="dxa" w:w="4608"/>
            <w:vAlign w:val="top"/>
          </w:tcPr>
          <w:p>
            <w:pPr>
              <w:spacing w:after="0"/>
            </w:pPr>
            <w:r/>
            <w:r>
              <w:rPr>
                <w:rFonts w:ascii="Aptos" w:hAnsi="Aptos" w:eastAsia="Aptos"/>
                <w:b w:val="0"/>
                <w:sz w:val="18"/>
              </w:rPr>
              <w:t>S2</w:t>
            </w:r>
          </w:p>
        </w:tc>
      </w:tr>
      <w:tr>
        <w:tc>
          <w:tcPr>
            <w:tcW w:type="dxa" w:w="5472"/>
            <w:vAlign w:val="top"/>
          </w:tcPr>
          <w:p>
            <w:pPr>
              <w:spacing w:after="0"/>
            </w:pPr>
            <w:r/>
            <w:r>
              <w:rPr>
                <w:rFonts w:ascii="Aptos" w:hAnsi="Aptos" w:eastAsia="Aptos"/>
                <w:b w:val="0"/>
                <w:sz w:val="18"/>
              </w:rPr>
              <w:t>Module hardware dimensions, vacuum, diagnostics, interlocks, commissioning</w:t>
            </w:r>
          </w:p>
        </w:tc>
        <w:tc>
          <w:tcPr>
            <w:tcW w:type="dxa" w:w="4608"/>
            <w:vAlign w:val="top"/>
          </w:tcPr>
          <w:p>
            <w:pPr>
              <w:spacing w:after="0"/>
            </w:pPr>
            <w:r/>
            <w:r>
              <w:rPr>
                <w:rFonts w:ascii="Aptos" w:hAnsi="Aptos" w:eastAsia="Aptos"/>
                <w:b w:val="0"/>
                <w:sz w:val="18"/>
              </w:rPr>
              <w:t>S3</w:t>
            </w:r>
          </w:p>
        </w:tc>
      </w:tr>
      <w:tr>
        <w:tc>
          <w:tcPr>
            <w:tcW w:type="dxa" w:w="5472"/>
            <w:vAlign w:val="top"/>
          </w:tcPr>
          <w:p>
            <w:pPr>
              <w:spacing w:after="0"/>
            </w:pPr>
            <w:r/>
            <w:r>
              <w:rPr>
                <w:rFonts w:ascii="Aptos" w:hAnsi="Aptos" w:eastAsia="Aptos"/>
                <w:b w:val="0"/>
                <w:sz w:val="18"/>
              </w:rPr>
              <w:t>Literature comparison among SCC, Gabor lenses, electron columns, and neutralized drifts</w:t>
            </w:r>
          </w:p>
        </w:tc>
        <w:tc>
          <w:tcPr>
            <w:tcW w:type="dxa" w:w="4608"/>
            <w:vAlign w:val="top"/>
          </w:tcPr>
          <w:p>
            <w:pPr>
              <w:spacing w:after="0"/>
            </w:pPr>
            <w:r/>
            <w:r>
              <w:rPr>
                <w:rFonts w:ascii="Aptos" w:hAnsi="Aptos" w:eastAsia="Aptos"/>
                <w:b w:val="0"/>
                <w:sz w:val="18"/>
              </w:rPr>
              <w:t>S4, S5</w:t>
            </w:r>
          </w:p>
        </w:tc>
      </w:tr>
      <w:tr>
        <w:tc>
          <w:tcPr>
            <w:tcW w:type="dxa" w:w="5472"/>
            <w:vAlign w:val="top"/>
          </w:tcPr>
          <w:p>
            <w:pPr>
              <w:spacing w:after="0"/>
            </w:pPr>
            <w:r/>
            <w:r>
              <w:rPr>
                <w:rFonts w:ascii="Aptos" w:hAnsi="Aptos" w:eastAsia="Aptos"/>
                <w:b w:val="0"/>
                <w:sz w:val="18"/>
              </w:rPr>
              <w:t>Novelty assessment and validation strategy</w:t>
            </w:r>
          </w:p>
        </w:tc>
        <w:tc>
          <w:tcPr>
            <w:tcW w:type="dxa" w:w="4608"/>
            <w:vAlign w:val="top"/>
          </w:tcPr>
          <w:p>
            <w:pPr>
              <w:spacing w:after="0"/>
            </w:pPr>
            <w:r/>
            <w:r>
              <w:rPr>
                <w:rFonts w:ascii="Aptos" w:hAnsi="Aptos" w:eastAsia="Aptos"/>
                <w:b w:val="0"/>
                <w:sz w:val="18"/>
              </w:rPr>
              <w:t>S2, S4, S5</w:t>
            </w:r>
          </w:p>
        </w:tc>
      </w:tr>
    </w:tbl>
    <w:p/>
    <w:p>
      <w:r>
        <w:t>The source notes are internally consistent on the main beam-physics concept: local beam-ionized plasma can reduce the effective perveance of a low-energy proton beam, and Kr can accelerate transient neutralization. The main correction needed before using the material in a proposal or paper is the explicit definition of electrode polarity and potential reference. The second correction is to maintain a clear distinction between proton-beam compatibility and likely H- incompatibility.</w:t>
      </w:r>
    </w:p>
    <w:sectPr w:rsidR="00FC693F" w:rsidRPr="0006063C" w:rsidSect="00034616">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Consolidated plasma-column study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before="40" w:after="120"/>
      <w:ind w:left="360"/>
    </w:pPr>
    <w:rPr>
      <w:rFonts w:ascii="Consolas" w:hAnsi="Consolas" w:eastAsia="Consolas"/>
      <w:sz w:val="19"/>
    </w:rPr>
  </w:style>
  <w:style w:type="paragraph" w:customStyle="1" w:styleId="CaptionCustom">
    <w:name w:val="CaptionCustom"/>
    <w:pPr>
      <w:spacing w:after="160"/>
    </w:pPr>
    <w:rPr>
      <w:rFonts w:ascii="Aptos" w:hAnsi="Aptos" w:eastAsia="Aptos"/>
      <w:i/>
      <w:color w:val="5A5A5A"/>
      <w:sz w:val="18"/>
    </w:rPr>
  </w:style>
  <w:style w:type="paragraph" w:customStyle="1" w:styleId="NoteBox">
    <w:name w:val="NoteBox"/>
    <w:pPr>
      <w:spacing w:before="80" w:after="160"/>
      <w:ind w:left="360" w:right="360"/>
    </w:pPr>
    <w:rPr>
      <w:rFonts w:ascii="Aptos" w:hAnsi="Aptos" w:eastAsia="Aptos"/>
      <w:color w:val="3232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