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80"/>
        <w:jc w:val="center"/>
      </w:pPr>
      <w:r>
        <w:rPr>
          <w:rFonts w:ascii="Arial" w:cs="Arial" w:eastAsia="Arial" w:hAnsi="Arial"/>
          <w:b/>
          <w:bCs/>
          <w:color w:val="1C1917"/>
          <w:sz w:val="56"/>
          <w:szCs w:val="56"/>
        </w:rPr>
        <w:t xml:space="preserve">AQSoft Health Platform</w:t>
      </w:r>
    </w:p>
    <w:p>
      <w:pPr>
        <w:spacing w:after="120"/>
        <w:jc w:val="center"/>
      </w:pPr>
      <w:r>
        <w:rPr>
          <w:rFonts w:ascii="Arial" w:cs="Arial" w:eastAsia="Arial" w:hAnsi="Arial"/>
          <w:b/>
          <w:bCs/>
          <w:color w:val="16A34A"/>
          <w:sz w:val="32"/>
          <w:szCs w:val="32"/>
        </w:rPr>
        <w:t xml:space="preserve">MSO-in-a-Box</w:t>
      </w:r>
    </w:p>
    <w:p>
      <w:pPr>
        <w:spacing w:after="200"/>
        <w:jc w:val="center"/>
      </w:pPr>
      <w:r>
        <w:rPr>
          <w:rFonts w:ascii="Arial" w:cs="Arial" w:eastAsia="Arial" w:hAnsi="Arial"/>
          <w:color w:val="57534E"/>
          <w:sz w:val="24"/>
          <w:szCs w:val="24"/>
        </w:rPr>
        <w:t xml:space="preserve">Turnkey Managed Care Infrastructure for Physician Groups</w:t>
      </w:r>
    </w:p>
    <w:p>
      <w:pPr>
        <w:spacing w:after="200"/>
      </w:pPr>
    </w:p>
    <w:p>
      <w:pPr>
        <w:jc w:val="center"/>
      </w:pPr>
      <w:r>
        <w:rPr>
          <w:rFonts w:ascii="Arial" w:cs="Arial" w:eastAsia="Arial" w:hAnsi="Arial"/>
          <w:color w:val="57534E"/>
          <w:sz w:val="22"/>
          <w:szCs w:val="22"/>
        </w:rPr>
        <w:t xml:space="preserve">Go-to-Market Business Plan &amp; Financial Model</w:t>
      </w:r>
    </w:p>
    <w:p>
      <w:pPr>
        <w:jc w:val="center"/>
      </w:pPr>
      <w:r>
        <w:rPr>
          <w:rFonts w:ascii="Arial" w:cs="Arial" w:eastAsia="Arial" w:hAnsi="Arial"/>
          <w:color w:val="A8A29E"/>
          <w:sz w:val="20"/>
          <w:szCs w:val="20"/>
        </w:rPr>
        <w:t xml:space="preserve">March 2026 — Confidential</w:t>
      </w:r>
    </w:p>
    <w:p>
      <w:r>
        <w:br w:type="page"/>
      </w:r>
    </w:p>
    <w:p>
      <w:pPr>
        <w:pStyle w:val="Heading1"/>
        <w:spacing w:after="160" w:before="360"/>
      </w:pPr>
      <w:r>
        <w:rPr>
          <w:rFonts w:ascii="Arial" w:cs="Arial" w:eastAsia="Arial" w:hAnsi="Arial"/>
          <w:b/>
          <w:bCs/>
          <w:color w:val="1C1917"/>
          <w:sz w:val="36"/>
          <w:szCs w:val="36"/>
        </w:rPr>
        <w:t xml:space="preserve">1. The Thesis: MSO-in-a-Box</w:t>
      </w:r>
    </w:p>
    <w:p>
      <w:pPr>
        <w:spacing w:after="160"/>
      </w:pPr>
      <w:r>
        <w:rPr>
          <w:rFonts w:ascii="Arial" w:cs="Arial" w:eastAsia="Arial" w:hAnsi="Arial"/>
          <w:color w:val="57534E"/>
          <w:sz w:val="22"/>
          <w:szCs w:val="22"/>
        </w:rPr>
        <w:t xml:space="preserve">Running a managed care organization today requires a quality director, an analytics team, care managers, coders, billing staff, and a data infrastructure team. For a 10,000-life population, that’s 15–25 employees and $1.5–3M in annual labor costs before technology.</w:t>
      </w:r>
    </w:p>
    <w:p>
      <w:pPr>
        <w:spacing w:after="160"/>
      </w:pPr>
      <w:r>
        <w:rPr>
          <w:rFonts w:ascii="Arial" w:cs="Arial" w:eastAsia="Arial" w:hAnsi="Arial"/>
          <w:color w:val="57534E"/>
          <w:sz w:val="22"/>
          <w:szCs w:val="22"/>
        </w:rPr>
        <w:t xml:space="preserve">We are building a platform that replaces most of that headcount with AI. A physician group that wants to take risk on a Medicare Advantage contract no longer needs to build an MSO from scratch. They need our platform and 1–2 administrative staff to operate it.</w:t>
      </w:r>
    </w:p>
    <w:p>
      <w:pPr>
        <w:spacing w:after="160"/>
      </w:pPr>
      <w:r>
        <w:rPr>
          <w:rFonts w:ascii="Arial" w:cs="Arial" w:eastAsia="Arial" w:hAnsi="Arial"/>
          <w:b/>
          <w:bCs/>
          <w:color w:val="1C1917"/>
          <w:sz w:val="22"/>
          <w:szCs w:val="22"/>
        </w:rPr>
        <w:t xml:space="preserve">The platform is not a tool for MSOs. It IS the MSO infrastructure.</w:t>
      </w:r>
      <w:r>
        <w:rPr>
          <w:rFonts w:ascii="Arial" w:cs="Arial" w:eastAsia="Arial" w:hAnsi="Arial"/>
          <w:color w:val="57534E"/>
          <w:sz w:val="22"/>
          <w:szCs w:val="22"/>
        </w:rPr>
        <w:t xml:space="preserve"> Quality tracking, risk adjustment, care management, expenditure analytics, billing optimization, data aggregation, provider performance, member outreach — every function a managed care organization needs to operate, built AI-first on an open-source EHR chassis.</w:t>
      </w:r>
    </w:p>
    <w:p>
      <w:pPr>
        <w:pStyle w:val="Heading2"/>
        <w:spacing w:after="120" w:before="280"/>
      </w:pPr>
      <w:r>
        <w:rPr>
          <w:rFonts w:ascii="Arial" w:cs="Arial" w:eastAsia="Arial" w:hAnsi="Arial"/>
          <w:b/>
          <w:bCs/>
          <w:color w:val="1C1917"/>
          <w:sz w:val="28"/>
          <w:szCs w:val="28"/>
        </w:rPr>
        <w:t xml:space="preserve">What the Platform Replaces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Traditional MSO Function</w:t>
            </w:r>
          </w:p>
        </w:tc>
        <w:tc>
          <w:tcPr>
            <w:tcW w:type="dxa" w:w="12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Headcount</w:t>
            </w:r>
          </w:p>
        </w:tc>
        <w:tc>
          <w:tcPr>
            <w:tcW w:type="dxa" w:w="536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Platform Replacement</w:t>
            </w:r>
          </w:p>
        </w:tc>
      </w:tr>
      <w:tr>
        <w:tc>
          <w:tcPr>
            <w:tcW w:type="dxa" w:w="2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Quality Director + HEDIS team</w:t>
            </w:r>
          </w:p>
        </w:tc>
        <w:tc>
          <w:tcPr>
            <w:tcW w:type="dxa" w:w="1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2–3 FTEs</w:t>
            </w:r>
          </w:p>
        </w:tc>
        <w:tc>
          <w:tcPr>
            <w:tcW w:type="dxa" w:w="5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Automated Star/HEDIS/MIPS tracking with gap engine</w:t>
            </w:r>
          </w:p>
        </w:tc>
      </w:tr>
      <w:tr>
        <w:tc>
          <w:tcPr>
            <w:tcW w:type="dxa" w:w="2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Analytics team (data pulls, reports)</w:t>
            </w:r>
          </w:p>
        </w:tc>
        <w:tc>
          <w:tcPr>
            <w:tcW w:type="dxa" w:w="1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2–4 FTEs</w:t>
            </w:r>
          </w:p>
        </w:tc>
        <w:tc>
          <w:tcPr>
            <w:tcW w:type="dxa" w:w="5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Universal data ingestion with AI mapping + dashboards</w:t>
            </w:r>
          </w:p>
        </w:tc>
      </w:tr>
      <w:tr>
        <w:tc>
          <w:tcPr>
            <w:tcW w:type="dxa" w:w="2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Care managers + outreach coordinators</w:t>
            </w:r>
          </w:p>
        </w:tc>
        <w:tc>
          <w:tcPr>
            <w:tcW w:type="dxa" w:w="1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3–6 FTEs</w:t>
            </w:r>
          </w:p>
        </w:tc>
        <w:tc>
          <w:tcPr>
            <w:tcW w:type="dxa" w:w="5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Care management workbench + automated campaign engine</w:t>
            </w:r>
          </w:p>
        </w:tc>
      </w:tr>
      <w:tr>
        <w:tc>
          <w:tcPr>
            <w:tcW w:type="dxa" w:w="2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Retrospective HCC coders</w:t>
            </w:r>
          </w:p>
        </w:tc>
        <w:tc>
          <w:tcPr>
            <w:tcW w:type="dxa" w:w="1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2–4 FTEs</w:t>
            </w:r>
          </w:p>
        </w:tc>
        <w:tc>
          <w:tcPr>
            <w:tcW w:type="dxa" w:w="5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AutoCoder prospective capture at point of care</w:t>
            </w:r>
          </w:p>
        </w:tc>
      </w:tr>
      <w:tr>
        <w:tc>
          <w:tcPr>
            <w:tcW w:type="dxa" w:w="2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Billing/denial management staff</w:t>
            </w:r>
          </w:p>
        </w:tc>
        <w:tc>
          <w:tcPr>
            <w:tcW w:type="dxa" w:w="1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1–2 FTEs</w:t>
            </w:r>
          </w:p>
        </w:tc>
        <w:tc>
          <w:tcPr>
            <w:tcW w:type="dxa" w:w="5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AIClaim pre-submission scrub + denial prediction</w:t>
            </w:r>
          </w:p>
        </w:tc>
      </w:tr>
      <w:tr>
        <w:tc>
          <w:tcPr>
            <w:tcW w:type="dxa" w:w="2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Data entry / plan portal downloads</w:t>
            </w:r>
          </w:p>
        </w:tc>
        <w:tc>
          <w:tcPr>
            <w:tcW w:type="dxa" w:w="1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1–2 FTEs</w:t>
            </w:r>
          </w:p>
        </w:tc>
        <w:tc>
          <w:tcPr>
            <w:tcW w:type="dxa" w:w="5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Automated feed ingestion from all sources</w:t>
            </w:r>
          </w:p>
        </w:tc>
      </w:tr>
    </w:tbl>
    <w:p>
      <w:pPr>
        <w:spacing w:after="200"/>
      </w:pPr>
    </w:p>
    <w:p>
      <w:pPr>
        <w:spacing w:after="160"/>
      </w:pPr>
      <w:r>
        <w:rPr>
          <w:rFonts w:ascii="Arial" w:cs="Arial" w:eastAsia="Arial" w:hAnsi="Arial"/>
          <w:color w:val="57534E"/>
          <w:sz w:val="22"/>
          <w:szCs w:val="22"/>
        </w:rPr>
        <w:t xml:space="preserve">Traditional cost: </w:t>
      </w:r>
      <w:r>
        <w:rPr>
          <w:rFonts w:ascii="Arial" w:cs="Arial" w:eastAsia="Arial" w:hAnsi="Arial"/>
          <w:b/>
          <w:bCs/>
          <w:color w:val="1C1917"/>
          <w:sz w:val="22"/>
          <w:szCs w:val="22"/>
        </w:rPr>
        <w:t xml:space="preserve">$1.5–3M/year </w:t>
      </w:r>
      <w:r>
        <w:rPr>
          <w:rFonts w:ascii="Arial" w:cs="Arial" w:eastAsia="Arial" w:hAnsi="Arial"/>
          <w:color w:val="57534E"/>
          <w:sz w:val="22"/>
          <w:szCs w:val="22"/>
        </w:rPr>
        <w:t xml:space="preserve">in labor alone. Platform cost at $3–4 PMPM for 10,000 lives: </w:t>
      </w:r>
      <w:r>
        <w:rPr>
          <w:rFonts w:ascii="Arial" w:cs="Arial" w:eastAsia="Arial" w:hAnsi="Arial"/>
          <w:b/>
          <w:bCs/>
          <w:color w:val="16A34A"/>
          <w:sz w:val="22"/>
          <w:szCs w:val="22"/>
        </w:rPr>
        <w:t xml:space="preserve">$360–480K/year</w:t>
      </w:r>
      <w:r>
        <w:rPr>
          <w:rFonts w:ascii="Arial" w:cs="Arial" w:eastAsia="Arial" w:hAnsi="Arial"/>
          <w:color w:val="57534E"/>
          <w:sz w:val="22"/>
          <w:szCs w:val="22"/>
        </w:rPr>
        <w:t xml:space="preserve">. That’s 75–85% cost reduction for equivalent (or better) operational capability.</w:t>
      </w:r>
    </w:p>
    <w:p>
      <w:pPr>
        <w:pStyle w:val="Heading2"/>
        <w:spacing w:after="120" w:before="280"/>
      </w:pPr>
      <w:r>
        <w:rPr>
          <w:rFonts w:ascii="Arial" w:cs="Arial" w:eastAsia="Arial" w:hAnsi="Arial"/>
          <w:b/>
          <w:bCs/>
          <w:color w:val="1C1917"/>
          <w:sz w:val="28"/>
          <w:szCs w:val="28"/>
        </w:rPr>
        <w:t xml:space="preserve">Two Go-to-Market Paths</w:t>
      </w:r>
    </w:p>
    <w:p>
      <w:pPr>
        <w:spacing w:after="160"/>
      </w:pPr>
      <w:r>
        <w:rPr>
          <w:rFonts w:ascii="Arial" w:cs="Arial" w:eastAsia="Arial" w:hAnsi="Arial"/>
          <w:b/>
          <w:bCs/>
          <w:color w:val="1C1917"/>
          <w:sz w:val="22"/>
          <w:szCs w:val="22"/>
        </w:rPr>
        <w:t xml:space="preserve">Path 1: Sell to existing MSOs. </w:t>
      </w:r>
      <w:r>
        <w:rPr>
          <w:rFonts w:ascii="Arial" w:cs="Arial" w:eastAsia="Arial" w:hAnsi="Arial"/>
          <w:color w:val="57534E"/>
          <w:sz w:val="22"/>
          <w:szCs w:val="22"/>
        </w:rPr>
        <w:t xml:space="preserve">Replace their fragmented tools with one unified platform. They already have the infrastructure and the contracts — we make their operations more efficient and their outcomes better.</w:t>
      </w:r>
    </w:p>
    <w:p>
      <w:pPr>
        <w:spacing w:after="160"/>
      </w:pPr>
      <w:r>
        <w:rPr>
          <w:rFonts w:ascii="Arial" w:cs="Arial" w:eastAsia="Arial" w:hAnsi="Arial"/>
          <w:b/>
          <w:bCs/>
          <w:color w:val="1C1917"/>
          <w:sz w:val="22"/>
          <w:szCs w:val="22"/>
        </w:rPr>
        <w:t xml:space="preserve">Path 2: Enable new MSOs. </w:t>
      </w:r>
      <w:r>
        <w:rPr>
          <w:rFonts w:ascii="Arial" w:cs="Arial" w:eastAsia="Arial" w:hAnsi="Arial"/>
          <w:color w:val="57534E"/>
          <w:sz w:val="22"/>
          <w:szCs w:val="22"/>
        </w:rPr>
        <w:t xml:space="preserve">Sell to physician groups who want to take risk but can’t afford traditional MSO overhead. Our platform provides the infrastructure they need to enter value-based care contracts. This dramatically expands the TAM beyond the ~1,200 existing MSOs to the thousands of physician groups currently stuck in fee-for-service.</w:t>
      </w:r>
    </w:p>
    <w:p>
      <w:r>
        <w:br w:type="page"/>
      </w:r>
    </w:p>
    <w:p>
      <w:pPr>
        <w:pStyle w:val="Heading1"/>
        <w:spacing w:after="160" w:before="360"/>
      </w:pPr>
      <w:r>
        <w:rPr>
          <w:rFonts w:ascii="Arial" w:cs="Arial" w:eastAsia="Arial" w:hAnsi="Arial"/>
          <w:b/>
          <w:bCs/>
          <w:color w:val="1C1917"/>
          <w:sz w:val="36"/>
          <w:szCs w:val="36"/>
        </w:rPr>
        <w:t xml:space="preserve">2. Market Opportunity</w:t>
      </w:r>
    </w:p>
    <w:p>
      <w:pPr>
        <w:pStyle w:val="Heading2"/>
        <w:spacing w:after="120" w:before="280"/>
      </w:pPr>
      <w:r>
        <w:rPr>
          <w:rFonts w:ascii="Arial" w:cs="Arial" w:eastAsia="Arial" w:hAnsi="Arial"/>
          <w:b/>
          <w:bCs/>
          <w:color w:val="1C1917"/>
          <w:sz w:val="28"/>
          <w:szCs w:val="28"/>
        </w:rPr>
        <w:t xml:space="preserve">Florida Managed Care Landscape</w:t>
      </w:r>
    </w:p>
    <w:p>
      <w:pPr>
        <w:spacing w:after="160"/>
      </w:pPr>
      <w:r>
        <w:rPr>
          <w:rFonts w:ascii="Arial" w:cs="Arial" w:eastAsia="Arial" w:hAnsi="Arial"/>
          <w:color w:val="57534E"/>
          <w:sz w:val="22"/>
          <w:szCs w:val="22"/>
        </w:rPr>
        <w:t xml:space="preserve">Florida is one of the largest Medicare Advantage markets in the country. With a large senior population, 60+ delegated MSOs, and a regulatory environment favorable to MSO structures, it’s the ideal launchpad for this platform.</w:t>
      </w:r>
    </w:p>
    <w:p>
      <w:pPr>
        <w:pStyle w:val="ListParagraph"/>
        <w:numPr>
          <w:ilvl w:val="0"/>
          <w:numId w:val="2"/>
        </w:numPr>
        <w:spacing w:after="80"/>
      </w:pPr>
      <w:r>
        <w:rPr>
          <w:rFonts w:ascii="Arial" w:cs="Arial" w:eastAsia="Arial" w:hAnsi="Arial"/>
          <w:color w:val="57534E"/>
          <w:sz w:val="22"/>
          <w:szCs w:val="22"/>
        </w:rPr>
        <w:t xml:space="preserve">4.8M+ Medicare beneficiaries in Florida (2026), with ~54% enrolled in Medicare Advantage</w:t>
      </w:r>
    </w:p>
    <w:p>
      <w:pPr>
        <w:pStyle w:val="ListParagraph"/>
        <w:numPr>
          <w:ilvl w:val="0"/>
          <w:numId w:val="2"/>
        </w:numPr>
        <w:spacing w:after="80"/>
      </w:pPr>
      <w:r>
        <w:rPr>
          <w:rFonts w:ascii="Arial" w:cs="Arial" w:eastAsia="Arial" w:hAnsi="Arial"/>
          <w:color w:val="57534E"/>
          <w:sz w:val="22"/>
          <w:szCs w:val="22"/>
        </w:rPr>
        <w:t xml:space="preserve">60+ delegated MSOs operating across the state, managing risk-based contracts with MA plans</w:t>
      </w:r>
    </w:p>
    <w:p>
      <w:pPr>
        <w:pStyle w:val="ListParagraph"/>
        <w:numPr>
          <w:ilvl w:val="0"/>
          <w:numId w:val="2"/>
        </w:numPr>
        <w:spacing w:after="80"/>
      </w:pPr>
      <w:r>
        <w:rPr>
          <w:rFonts w:ascii="Arial" w:cs="Arial" w:eastAsia="Arial" w:hAnsi="Arial"/>
          <w:color w:val="57534E"/>
          <w:sz w:val="22"/>
          <w:szCs w:val="22"/>
        </w:rPr>
        <w:t xml:space="preserve">Major MA plans in market: Humana, UHC, Aetna, Cigna, Devoted, Wellcare, Freedom, HealthSun</w:t>
      </w:r>
    </w:p>
    <w:p>
      <w:pPr>
        <w:pStyle w:val="ListParagraph"/>
        <w:numPr>
          <w:ilvl w:val="0"/>
          <w:numId w:val="2"/>
        </w:numPr>
        <w:spacing w:after="80"/>
      </w:pPr>
      <w:r>
        <w:rPr>
          <w:rFonts w:ascii="Arial" w:cs="Arial" w:eastAsia="Arial" w:hAnsi="Arial"/>
          <w:color w:val="57534E"/>
          <w:sz w:val="22"/>
          <w:szCs w:val="22"/>
        </w:rPr>
        <w:t xml:space="preserve">Growing trend of physician groups seeking VBC arrangements but lacking infrastructure</w:t>
      </w:r>
    </w:p>
    <w:p>
      <w:pPr>
        <w:pStyle w:val="ListParagraph"/>
        <w:numPr>
          <w:ilvl w:val="0"/>
          <w:numId w:val="2"/>
        </w:numPr>
        <w:spacing w:after="80"/>
      </w:pPr>
      <w:r>
        <w:rPr>
          <w:rFonts w:ascii="Arial" w:cs="Arial" w:eastAsia="Arial" w:hAnsi="Arial"/>
          <w:color w:val="57534E"/>
          <w:sz w:val="22"/>
          <w:szCs w:val="22"/>
        </w:rPr>
        <w:t xml:space="preserve">SNF/post-acute sector is large and underserved by managed care technology (our unique wedge)</w:t>
      </w:r>
    </w:p>
    <w:p>
      <w:pPr>
        <w:pStyle w:val="Heading2"/>
        <w:spacing w:after="120" w:before="280"/>
      </w:pPr>
      <w:r>
        <w:rPr>
          <w:rFonts w:ascii="Arial" w:cs="Arial" w:eastAsia="Arial" w:hAnsi="Arial"/>
          <w:b/>
          <w:bCs/>
          <w:color w:val="1C1917"/>
          <w:sz w:val="28"/>
          <w:szCs w:val="28"/>
        </w:rPr>
        <w:t xml:space="preserve">Serviceable Addressable Market</w:t>
      </w:r>
    </w:p>
    <w:p>
      <w:pPr>
        <w:spacing w:after="160"/>
      </w:pPr>
      <w:r>
        <w:rPr>
          <w:rFonts w:ascii="Arial" w:cs="Arial" w:eastAsia="Arial" w:hAnsi="Arial"/>
          <w:color w:val="57534E"/>
          <w:sz w:val="22"/>
          <w:szCs w:val="22"/>
        </w:rPr>
        <w:t xml:space="preserve">Our initial target is Florida MSOs and physician groups managing Medicare Advantage populations, particularly those with SNF/post-acute exposure. This represents approximately 30–40 organizations managing 200,000–400,000 lives. At $3–4 PMPM, the Florida SAM alone is $7–19M in annual recurring revenue.</w:t>
      </w:r>
    </w:p>
    <w:p>
      <w:r>
        <w:br w:type="page"/>
      </w:r>
    </w:p>
    <w:p>
      <w:pPr>
        <w:pStyle w:val="Heading1"/>
        <w:spacing w:after="160" w:before="360"/>
      </w:pPr>
      <w:r>
        <w:rPr>
          <w:rFonts w:ascii="Arial" w:cs="Arial" w:eastAsia="Arial" w:hAnsi="Arial"/>
          <w:b/>
          <w:bCs/>
          <w:color w:val="1C1917"/>
          <w:sz w:val="36"/>
          <w:szCs w:val="36"/>
        </w:rPr>
        <w:t xml:space="preserve">3. Prospect Pipeline</w:t>
      </w:r>
    </w:p>
    <w:p>
      <w:pPr>
        <w:spacing w:after="160"/>
      </w:pPr>
      <w:r>
        <w:rPr>
          <w:rFonts w:ascii="Arial" w:cs="Arial" w:eastAsia="Arial" w:hAnsi="Arial"/>
          <w:color w:val="57534E"/>
          <w:sz w:val="22"/>
          <w:szCs w:val="22"/>
        </w:rPr>
        <w:t xml:space="preserve">We have identified five MSO relationships at varying stages, representing a combined 275,000+ managed lives and $5–9M+ in potential annual contract value.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2400"/>
        <w:gridCol w:w="2560"/>
      </w:tblGrid>
      <w:tr>
        <w:tc>
          <w:tcPr>
            <w:tcW w:type="dxa" w:w="26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Prospect</w:t>
            </w:r>
          </w:p>
        </w:tc>
        <w:tc>
          <w:tcPr>
            <w:tcW w:type="dxa" w:w="9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Lives</w:t>
            </w:r>
          </w:p>
        </w:tc>
        <w:tc>
          <w:tcPr>
            <w:tcW w:type="dxa" w:w="9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Tier</w:t>
            </w:r>
          </w:p>
        </w:tc>
        <w:tc>
          <w:tcPr>
            <w:tcW w:type="dxa" w:w="24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Status</w:t>
            </w:r>
          </w:p>
        </w:tc>
        <w:tc>
          <w:tcPr>
            <w:tcW w:type="dxa" w:w="256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Est. ACV</w:t>
            </w:r>
          </w:p>
        </w:tc>
      </w:tr>
      <w:tr>
        <w:tc>
          <w:tcPr>
            <w:tcW w:type="dxa" w:w="26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Internal pilot</w:t>
            </w:r>
          </w:p>
        </w:tc>
        <w:tc>
          <w:tcPr>
            <w:tcW w:type="dxa" w:w="9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~4,000</w:t>
            </w:r>
          </w:p>
        </w:tc>
        <w:tc>
          <w:tcPr>
            <w:tcW w:type="dxa" w:w="9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Pilot</w:t>
            </w:r>
          </w:p>
        </w:tc>
        <w:tc>
          <w:tcPr>
            <w:tcW w:type="dxa" w:w="2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Immediate deployment</w:t>
            </w:r>
          </w:p>
        </w:tc>
        <w:tc>
          <w:tcPr>
            <w:tcW w:type="dxa" w:w="25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$96–144K</w:t>
            </w:r>
          </w:p>
        </w:tc>
      </w:tr>
      <w:tr>
        <w:tc>
          <w:tcPr>
            <w:tcW w:type="dxa" w:w="26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Paxton Medical Management</w:t>
            </w:r>
          </w:p>
        </w:tc>
        <w:tc>
          <w:tcPr>
            <w:tcW w:type="dxa" w:w="9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~15,000</w:t>
            </w:r>
          </w:p>
        </w:tc>
        <w:tc>
          <w:tcPr>
            <w:tcW w:type="dxa" w:w="9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Anchor</w:t>
            </w:r>
          </w:p>
        </w:tc>
        <w:tc>
          <w:tcPr>
            <w:tcW w:type="dxa" w:w="2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Warm relationship, aligned values</w:t>
            </w:r>
          </w:p>
        </w:tc>
        <w:tc>
          <w:tcPr>
            <w:tcW w:type="dxa" w:w="25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$450–720K</w:t>
            </w:r>
          </w:p>
        </w:tc>
      </w:tr>
      <w:tr>
        <w:tc>
          <w:tcPr>
            <w:tcW w:type="dxa" w:w="26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Access Healthcare / BetterHealth</w:t>
            </w:r>
          </w:p>
        </w:tc>
        <w:tc>
          <w:tcPr>
            <w:tcW w:type="dxa" w:w="9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200,000+</w:t>
            </w:r>
          </w:p>
        </w:tc>
        <w:tc>
          <w:tcPr>
            <w:tcW w:type="dxa" w:w="9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Enterprise</w:t>
            </w:r>
          </w:p>
        </w:tc>
        <w:tc>
          <w:tcPr>
            <w:tcW w:type="dxa" w:w="2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Requires validated case study</w:t>
            </w:r>
          </w:p>
        </w:tc>
        <w:tc>
          <w:tcPr>
            <w:tcW w:type="dxa" w:w="25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$4–8M+</w:t>
            </w:r>
          </w:p>
        </w:tc>
      </w:tr>
      <w:tr>
        <w:tc>
          <w:tcPr>
            <w:tcW w:type="dxa" w:w="26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Regional MSO (FL, nearby)</w:t>
            </w:r>
          </w:p>
        </w:tc>
        <w:tc>
          <w:tcPr>
            <w:tcW w:type="dxa" w:w="9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~4,000</w:t>
            </w:r>
          </w:p>
        </w:tc>
        <w:tc>
          <w:tcPr>
            <w:tcW w:type="dxa" w:w="9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Small</w:t>
            </w:r>
          </w:p>
        </w:tc>
        <w:tc>
          <w:tcPr>
            <w:tcW w:type="dxa" w:w="2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Known contact</w:t>
            </w:r>
          </w:p>
        </w:tc>
        <w:tc>
          <w:tcPr>
            <w:tcW w:type="dxa" w:w="25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$96–144K</w:t>
            </w:r>
          </w:p>
        </w:tc>
      </w:tr>
      <w:tr>
        <w:tc>
          <w:tcPr>
            <w:tcW w:type="dxa" w:w="26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Regional MSO (FL)</w:t>
            </w:r>
          </w:p>
        </w:tc>
        <w:tc>
          <w:tcPr>
            <w:tcW w:type="dxa" w:w="9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~2,000</w:t>
            </w:r>
          </w:p>
        </w:tc>
        <w:tc>
          <w:tcPr>
            <w:tcW w:type="dxa" w:w="9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Small</w:t>
            </w:r>
          </w:p>
        </w:tc>
        <w:tc>
          <w:tcPr>
            <w:tcW w:type="dxa" w:w="2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Early relationship</w:t>
            </w:r>
          </w:p>
        </w:tc>
        <w:tc>
          <w:tcPr>
            <w:tcW w:type="dxa" w:w="25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$48–72K</w:t>
            </w:r>
          </w:p>
        </w:tc>
      </w:tr>
    </w:tbl>
    <w:p>
      <w:pPr>
        <w:spacing w:after="200"/>
      </w:pPr>
    </w:p>
    <w:p>
      <w:pPr>
        <w:pStyle w:val="Heading2"/>
        <w:spacing w:after="120" w:before="280"/>
      </w:pPr>
      <w:r>
        <w:rPr>
          <w:rFonts w:ascii="Arial" w:cs="Arial" w:eastAsia="Arial" w:hAnsi="Arial"/>
          <w:b/>
          <w:bCs/>
          <w:color w:val="1C1917"/>
          <w:sz w:val="28"/>
          <w:szCs w:val="28"/>
        </w:rPr>
        <w:t xml:space="preserve">Tier 1: Internal Pilot (~4,000 lives)</w:t>
      </w:r>
    </w:p>
    <w:p>
      <w:pPr>
        <w:spacing w:after="160"/>
      </w:pPr>
      <w:r>
        <w:rPr>
          <w:rFonts w:ascii="Arial" w:cs="Arial" w:eastAsia="Arial" w:hAnsi="Arial"/>
          <w:color w:val="57534E"/>
          <w:sz w:val="22"/>
          <w:szCs w:val="22"/>
        </w:rPr>
        <w:t xml:space="preserve">Our internal practice is the ideal pilot environment. We control the data, the workflow, and the decision-making. Zero sales cycle. Deploy the platform against our own panel to validate outcomes before approaching external clients.</w:t>
      </w:r>
    </w:p>
    <w:p>
      <w:pPr>
        <w:spacing w:after="160"/>
      </w:pPr>
      <w:r>
        <w:rPr>
          <w:rFonts w:ascii="Arial" w:cs="Arial" w:eastAsia="Arial" w:hAnsi="Arial"/>
          <w:b/>
          <w:bCs/>
          <w:color w:val="1C1917"/>
          <w:sz w:val="22"/>
          <w:szCs w:val="22"/>
        </w:rPr>
        <w:t xml:space="preserve">Strategy: </w:t>
      </w:r>
      <w:r>
        <w:rPr>
          <w:rFonts w:ascii="Arial" w:cs="Arial" w:eastAsia="Arial" w:hAnsi="Arial"/>
          <w:color w:val="57534E"/>
          <w:sz w:val="22"/>
          <w:szCs w:val="22"/>
        </w:rPr>
        <w:t xml:space="preserve">Deploy SNF Admit Assist immediately for hospitalist encounters. Layer on AutoCoder integration. Track RAF uplift, time savings, and quality gap closure over 90 days. These metrics become the sales collateral for every subsequent prospect.</w:t>
      </w:r>
    </w:p>
    <w:p>
      <w:pPr>
        <w:spacing w:after="160"/>
      </w:pPr>
      <w:r>
        <w:rPr>
          <w:rFonts w:ascii="Arial" w:cs="Arial" w:eastAsia="Arial" w:hAnsi="Arial"/>
          <w:b/>
          <w:bCs/>
          <w:color w:val="1C1917"/>
          <w:sz w:val="22"/>
          <w:szCs w:val="22"/>
        </w:rPr>
        <w:t xml:space="preserve">Target outcomes: </w:t>
      </w:r>
      <w:r>
        <w:rPr>
          <w:rFonts w:ascii="Arial" w:cs="Arial" w:eastAsia="Arial" w:hAnsi="Arial"/>
          <w:color w:val="57534E"/>
          <w:sz w:val="22"/>
          <w:szCs w:val="22"/>
        </w:rPr>
        <w:t xml:space="preserve">Demonstrate 15–25% improvement in HCC capture rate, 30%+ reduction in documentation time, and quantifiable dollar value of RAF uplift. Document the ROI: target $200–400K in annualized value creation within 6 months.</w:t>
      </w:r>
    </w:p>
    <w:p>
      <w:pPr>
        <w:pStyle w:val="Heading2"/>
        <w:spacing w:after="120" w:before="280"/>
      </w:pPr>
      <w:r>
        <w:rPr>
          <w:rFonts w:ascii="Arial" w:cs="Arial" w:eastAsia="Arial" w:hAnsi="Arial"/>
          <w:b/>
          <w:bCs/>
          <w:color w:val="1C1917"/>
          <w:sz w:val="28"/>
          <w:szCs w:val="28"/>
        </w:rPr>
        <w:t xml:space="preserve">Tier 2: Paxton Medical Management (~15,000 lives)</w:t>
      </w:r>
    </w:p>
    <w:p>
      <w:pPr>
        <w:spacing w:after="160"/>
      </w:pPr>
      <w:r>
        <w:rPr>
          <w:rFonts w:ascii="Arial" w:cs="Arial" w:eastAsia="Arial" w:hAnsi="Arial"/>
          <w:color w:val="57534E"/>
          <w:sz w:val="22"/>
          <w:szCs w:val="22"/>
        </w:rPr>
        <w:t xml:space="preserve">Paxton Medical Management is a physician-led MSO based in Seminole, FL, dedicated to value-based care for seniors. They operate a growing network of senior-focused primary care clinics across Florida with 25+ years of managed care experience through Suncoast Family Medical Associates and Immediate MedCare partner centers. They’re Humana-networked and have publicly discussed the role of AI in value-based care.</w:t>
      </w:r>
    </w:p>
    <w:p>
      <w:pPr>
        <w:spacing w:after="160"/>
      </w:pPr>
      <w:r>
        <w:rPr>
          <w:rFonts w:ascii="Arial" w:cs="Arial" w:eastAsia="Arial" w:hAnsi="Arial"/>
          <w:b/>
          <w:bCs/>
          <w:color w:val="1C1917"/>
          <w:sz w:val="22"/>
          <w:szCs w:val="22"/>
        </w:rPr>
        <w:t xml:space="preserve">Why Paxton is the ideal anchor client: </w:t>
      </w:r>
      <w:r>
        <w:rPr>
          <w:rFonts w:ascii="Arial" w:cs="Arial" w:eastAsia="Arial" w:hAnsi="Arial"/>
          <w:color w:val="57534E"/>
          <w:sz w:val="22"/>
          <w:szCs w:val="22"/>
        </w:rPr>
        <w:t xml:space="preserve">Physician-led (aligned values with our physician-built platform), senior-focused Medicare Advantage population (exactly our target), Florida-based (local relationship), publicly committed to value-based care and quality improvement, and at 15,000 lives they’re large enough to validate the platform but small enough for a direct relationship with decision-makers.</w:t>
      </w:r>
    </w:p>
    <w:p>
      <w:pPr>
        <w:spacing w:after="160"/>
      </w:pPr>
      <w:r>
        <w:rPr>
          <w:rFonts w:ascii="Arial" w:cs="Arial" w:eastAsia="Arial" w:hAnsi="Arial"/>
          <w:b/>
          <w:bCs/>
          <w:color w:val="1C1917"/>
          <w:sz w:val="22"/>
          <w:szCs w:val="22"/>
        </w:rPr>
        <w:t xml:space="preserve">Entry strategy: </w:t>
      </w:r>
      <w:r>
        <w:rPr>
          <w:rFonts w:ascii="Arial" w:cs="Arial" w:eastAsia="Arial" w:hAnsi="Arial"/>
          <w:color w:val="57534E"/>
          <w:sz w:val="22"/>
          <w:szCs w:val="22"/>
        </w:rPr>
        <w:t xml:space="preserve">Offer a free retrospective claims analysis. They provide a de-identified claims data extract. We run AutoCoder + expenditure analytics and present findings showing: total missed HCC revenue, specific cost optimization opportunities, quality measure performance vs. benchmarks. This costs them nothing and creates a concrete dollar-value anchor for the commercial conversation.</w:t>
      </w:r>
    </w:p>
    <w:p>
      <w:pPr>
        <w:spacing w:after="160"/>
      </w:pPr>
      <w:r>
        <w:rPr>
          <w:rFonts w:ascii="Arial" w:cs="Arial" w:eastAsia="Arial" w:hAnsi="Arial"/>
          <w:b/>
          <w:bCs/>
          <w:color w:val="1C1917"/>
          <w:sz w:val="22"/>
          <w:szCs w:val="22"/>
        </w:rPr>
        <w:t xml:space="preserve">Pilot proposal: </w:t>
      </w:r>
      <w:r>
        <w:rPr>
          <w:rFonts w:ascii="Arial" w:cs="Arial" w:eastAsia="Arial" w:hAnsi="Arial"/>
          <w:color w:val="57534E"/>
          <w:sz w:val="22"/>
          <w:szCs w:val="22"/>
        </w:rPr>
        <w:t xml:space="preserve">90-day pilot on a subset (one health plan, 3–5K lives). Platform access + AutoCoder coding + quality gap tracking. Measure HCC capture improvement, time savings, and quality metric changes vs. baseline.</w:t>
      </w:r>
    </w:p>
    <w:p>
      <w:pPr>
        <w:spacing w:after="160"/>
      </w:pPr>
      <w:r>
        <w:rPr>
          <w:rFonts w:ascii="Arial" w:cs="Arial" w:eastAsia="Arial" w:hAnsi="Arial"/>
          <w:b/>
          <w:bCs/>
          <w:color w:val="1C1917"/>
          <w:sz w:val="22"/>
          <w:szCs w:val="22"/>
        </w:rPr>
        <w:t xml:space="preserve">Pricing: </w:t>
      </w:r>
      <w:r>
        <w:rPr>
          <w:rFonts w:ascii="Arial" w:cs="Arial" w:eastAsia="Arial" w:hAnsi="Arial"/>
          <w:color w:val="57534E"/>
          <w:sz w:val="22"/>
          <w:szCs w:val="22"/>
        </w:rPr>
        <w:t xml:space="preserve">$3 PMPM base + $20 per new HCC capture + revenue share on documented RAF uplift above baseline. Estimated ACV: $450–720K depending on capture volume.</w:t>
      </w:r>
    </w:p>
    <w:p>
      <w:pPr>
        <w:pStyle w:val="Heading2"/>
        <w:spacing w:after="120" w:before="280"/>
      </w:pPr>
      <w:r>
        <w:rPr>
          <w:rFonts w:ascii="Arial" w:cs="Arial" w:eastAsia="Arial" w:hAnsi="Arial"/>
          <w:b/>
          <w:bCs/>
          <w:color w:val="1C1917"/>
          <w:sz w:val="28"/>
          <w:szCs w:val="28"/>
        </w:rPr>
        <w:t xml:space="preserve">Tier 3: Enterprise (Access Healthcare / BetterHealth, 200,000+ lives)</w:t>
      </w:r>
    </w:p>
    <w:p>
      <w:pPr>
        <w:spacing w:after="160"/>
      </w:pPr>
      <w:r>
        <w:rPr>
          <w:rFonts w:ascii="Arial" w:cs="Arial" w:eastAsia="Arial" w:hAnsi="Arial"/>
          <w:color w:val="57534E"/>
          <w:sz w:val="22"/>
          <w:szCs w:val="22"/>
        </w:rPr>
        <w:t xml:space="preserve">Access Healthcare and BetterHealth are large-scale managed care organizations in Florida with 200,000+ lives under management. Organizations at this scale have dedicated IT, compliance, and analytics teams. They require HIPAA BAAs, security audits, SLA commitments, and formal procurement processes.</w:t>
      </w:r>
    </w:p>
    <w:p>
      <w:pPr>
        <w:spacing w:after="160"/>
      </w:pPr>
      <w:r>
        <w:rPr>
          <w:rFonts w:ascii="Arial" w:cs="Arial" w:eastAsia="Arial" w:hAnsi="Arial"/>
          <w:b/>
          <w:bCs/>
          <w:color w:val="1C1917"/>
          <w:sz w:val="22"/>
          <w:szCs w:val="22"/>
        </w:rPr>
        <w:t xml:space="preserve">Strategy: </w:t>
      </w:r>
      <w:r>
        <w:rPr>
          <w:rFonts w:ascii="Arial" w:cs="Arial" w:eastAsia="Arial" w:hAnsi="Arial"/>
          <w:color w:val="57534E"/>
          <w:sz w:val="22"/>
          <w:szCs w:val="22"/>
        </w:rPr>
        <w:t xml:space="preserve">Do not approach until validated outcomes exist from Tier 1 and Tier 2. They need a case study, reference calls, and audited results. When ready, lead with expenditure analytics — at 200K+ lives, even a $5 PMPM cost reduction = $12M+/year in savings. That’s the number that gets a C-suite meeting.</w:t>
      </w:r>
    </w:p>
    <w:p>
      <w:pPr>
        <w:spacing w:after="160"/>
      </w:pPr>
      <w:r>
        <w:rPr>
          <w:rFonts w:ascii="Arial" w:cs="Arial" w:eastAsia="Arial" w:hAnsi="Arial"/>
          <w:b/>
          <w:bCs/>
          <w:color w:val="1C1917"/>
          <w:sz w:val="22"/>
          <w:szCs w:val="22"/>
        </w:rPr>
        <w:t xml:space="preserve">Entry wedge: </w:t>
      </w:r>
      <w:r>
        <w:rPr>
          <w:rFonts w:ascii="Arial" w:cs="Arial" w:eastAsia="Arial" w:hAnsi="Arial"/>
          <w:color w:val="57534E"/>
          <w:sz w:val="22"/>
          <w:szCs w:val="22"/>
        </w:rPr>
        <w:t xml:space="preserve">Free retrospective analysis of one plan’s claims data. Show what they’re missing in RAF capture and where spend exceeds benchmarks. At this scale, the analysis alone will identify $5–20M in addressable opportunities.</w:t>
      </w:r>
    </w:p>
    <w:p>
      <w:pPr>
        <w:spacing w:after="160"/>
      </w:pPr>
      <w:r>
        <w:rPr>
          <w:rFonts w:ascii="Arial" w:cs="Arial" w:eastAsia="Arial" w:hAnsi="Arial"/>
          <w:b/>
          <w:bCs/>
          <w:color w:val="1C1917"/>
          <w:sz w:val="22"/>
          <w:szCs w:val="22"/>
        </w:rPr>
        <w:t xml:space="preserve">Pricing: </w:t>
      </w:r>
      <w:r>
        <w:rPr>
          <w:rFonts w:ascii="Arial" w:cs="Arial" w:eastAsia="Arial" w:hAnsi="Arial"/>
          <w:color w:val="57534E"/>
          <w:sz w:val="22"/>
          <w:szCs w:val="22"/>
        </w:rPr>
        <w:t xml:space="preserve">$2–3 PMPM (volume discount) + per-capture fees + performance guarantee on RAF uplift. Consider shared savings model where platform fee is a percentage of documented improvements. At $2 PMPM: $4.8M+ ACV. With performance bonuses: $6–8M+.</w:t>
      </w:r>
    </w:p>
    <w:p>
      <w:pPr>
        <w:pStyle w:val="Heading2"/>
        <w:spacing w:after="120" w:before="280"/>
      </w:pPr>
      <w:r>
        <w:rPr>
          <w:rFonts w:ascii="Arial" w:cs="Arial" w:eastAsia="Arial" w:hAnsi="Arial"/>
          <w:b/>
          <w:bCs/>
          <w:color w:val="1C1917"/>
          <w:sz w:val="28"/>
          <w:szCs w:val="28"/>
        </w:rPr>
        <w:t xml:space="preserve">Tier 4: Small Regional MSOs (~4,000 + ~2,000 lives)</w:t>
      </w:r>
    </w:p>
    <w:p>
      <w:pPr>
        <w:spacing w:after="160"/>
      </w:pPr>
      <w:r>
        <w:rPr>
          <w:rFonts w:ascii="Arial" w:cs="Arial" w:eastAsia="Arial" w:hAnsi="Arial"/>
          <w:color w:val="57534E"/>
          <w:sz w:val="22"/>
          <w:szCs w:val="22"/>
        </w:rPr>
        <w:t xml:space="preserve">These physician-owned MSOs make decisions fast. The founder or managing partner is the buyer. Sales cycles are 30–60 days. They don’t have dedicated analytics or quality staff — the platform replaces hires they can’t afford.</w:t>
      </w:r>
    </w:p>
    <w:p>
      <w:pPr>
        <w:spacing w:after="160"/>
      </w:pPr>
      <w:r>
        <w:rPr>
          <w:rFonts w:ascii="Arial" w:cs="Arial" w:eastAsia="Arial" w:hAnsi="Arial"/>
          <w:b/>
          <w:bCs/>
          <w:color w:val="1C1917"/>
          <w:sz w:val="22"/>
          <w:szCs w:val="22"/>
        </w:rPr>
        <w:t xml:space="preserve">Strategy: </w:t>
      </w:r>
      <w:r>
        <w:rPr>
          <w:rFonts w:ascii="Arial" w:cs="Arial" w:eastAsia="Arial" w:hAnsi="Arial"/>
          <w:color w:val="57534E"/>
          <w:sz w:val="22"/>
          <w:szCs w:val="22"/>
        </w:rPr>
        <w:t xml:space="preserve">Lead with SNF Admit Assist + AutoCoder for immediate clinical value. Expand to quality and analytics. Position the platform as: “your quality director, analytics team, and care management workbench in one subscription.”</w:t>
      </w:r>
    </w:p>
    <w:p>
      <w:pPr>
        <w:spacing w:after="160"/>
      </w:pPr>
      <w:r>
        <w:rPr>
          <w:rFonts w:ascii="Arial" w:cs="Arial" w:eastAsia="Arial" w:hAnsi="Arial"/>
          <w:b/>
          <w:bCs/>
          <w:color w:val="1C1917"/>
          <w:sz w:val="22"/>
          <w:szCs w:val="22"/>
        </w:rPr>
        <w:t xml:space="preserve">Pricing: </w:t>
      </w:r>
      <w:r>
        <w:rPr>
          <w:rFonts w:ascii="Arial" w:cs="Arial" w:eastAsia="Arial" w:hAnsi="Arial"/>
          <w:color w:val="57534E"/>
          <w:sz w:val="22"/>
          <w:szCs w:val="22"/>
        </w:rPr>
        <w:t xml:space="preserve">$3–4 PMPM flat rate. Combined ACV: $96–192K across both.</w:t>
      </w:r>
    </w:p>
    <w:p>
      <w:r>
        <w:br w:type="page"/>
      </w:r>
    </w:p>
    <w:p>
      <w:pPr>
        <w:pStyle w:val="Heading1"/>
        <w:spacing w:after="160" w:before="360"/>
      </w:pPr>
      <w:r>
        <w:rPr>
          <w:rFonts w:ascii="Arial" w:cs="Arial" w:eastAsia="Arial" w:hAnsi="Arial"/>
          <w:b/>
          <w:bCs/>
          <w:color w:val="1C1917"/>
          <w:sz w:val="36"/>
          <w:szCs w:val="36"/>
        </w:rPr>
        <w:t xml:space="preserve">4. Financial Model</w:t>
      </w:r>
    </w:p>
    <w:p>
      <w:pPr>
        <w:pStyle w:val="Heading2"/>
        <w:spacing w:after="120" w:before="280"/>
      </w:pPr>
      <w:r>
        <w:rPr>
          <w:rFonts w:ascii="Arial" w:cs="Arial" w:eastAsia="Arial" w:hAnsi="Arial"/>
          <w:b/>
          <w:bCs/>
          <w:color w:val="1C1917"/>
          <w:sz w:val="28"/>
          <w:szCs w:val="28"/>
        </w:rPr>
        <w:t xml:space="preserve">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Stream</w:t>
            </w:r>
          </w:p>
        </w:tc>
        <w:tc>
          <w:tcPr>
            <w:tcW w:type="dxa" w:w="436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Description</w:t>
            </w:r>
          </w:p>
        </w:tc>
        <w:tc>
          <w:tcPr>
            <w:tcW w:type="dxa" w:w="28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Pricing</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Platform License (PMPM)</w:t>
            </w:r>
          </w:p>
        </w:tc>
        <w:tc>
          <w:tcPr>
            <w:tcW w:type="dxa" w:w="4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Monthly per-member fee for full platform access</w:t>
            </w:r>
          </w:p>
        </w:tc>
        <w:tc>
          <w:tcPr>
            <w:tcW w:type="dxa" w:w="2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$2–4 PMPM</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HCC Capture Fee</w:t>
            </w:r>
          </w:p>
        </w:tc>
        <w:tc>
          <w:tcPr>
            <w:tcW w:type="dxa" w:w="4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Per new HCC captured prospectively at point of care</w:t>
            </w:r>
          </w:p>
        </w:tc>
        <w:tc>
          <w:tcPr>
            <w:tcW w:type="dxa" w:w="2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$15–25 per capture</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SNF Admit Processing</w:t>
            </w:r>
          </w:p>
        </w:tc>
        <w:tc>
          <w:tcPr>
            <w:tcW w:type="dxa" w:w="4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Per-admission note compilation + coding</w:t>
            </w:r>
          </w:p>
        </w:tc>
        <w:tc>
          <w:tcPr>
            <w:tcW w:type="dxa" w:w="2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$50–75 per admission</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AIClaim Pass-Through</w:t>
            </w:r>
          </w:p>
        </w:tc>
        <w:tc>
          <w:tcPr>
            <w:tcW w:type="dxa" w:w="4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Markup on denial prevention / claim scrubbing</w:t>
            </w:r>
          </w:p>
        </w:tc>
        <w:tc>
          <w:tcPr>
            <w:tcW w:type="dxa" w:w="2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$1–2 per claim</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Revenue Share</w:t>
            </w:r>
          </w:p>
        </w:tc>
        <w:tc>
          <w:tcPr>
            <w:tcW w:type="dxa" w:w="4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Percentage of documented RAF uplift above baseline</w:t>
            </w:r>
          </w:p>
        </w:tc>
        <w:tc>
          <w:tcPr>
            <w:tcW w:type="dxa" w:w="2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8–12%</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Analytics Engagements</w:t>
            </w:r>
          </w:p>
        </w:tc>
        <w:tc>
          <w:tcPr>
            <w:tcW w:type="dxa" w:w="4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Ad-hoc reporting, custom analysis, board presentations</w:t>
            </w:r>
          </w:p>
        </w:tc>
        <w:tc>
          <w:tcPr>
            <w:tcW w:type="dxa" w:w="2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$2,500–5,000 each</w:t>
            </w:r>
          </w:p>
        </w:tc>
      </w:tr>
    </w:tbl>
    <w:p>
      <w:pPr>
        <w:spacing w:after="200"/>
      </w:pPr>
    </w:p>
    <w:p>
      <w:pPr>
        <w:pStyle w:val="Heading2"/>
        <w:spacing w:after="120" w:before="280"/>
      </w:pPr>
      <w:r>
        <w:rPr>
          <w:rFonts w:ascii="Arial" w:cs="Arial" w:eastAsia="Arial" w:hAnsi="Arial"/>
          <w:b/>
          <w:bCs/>
          <w:color w:val="1C1917"/>
          <w:sz w:val="28"/>
          <w:szCs w:val="28"/>
        </w:rPr>
        <w:t xml:space="preserve">24-Month Revenue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900"/>
        <w:gridCol w:w="2200"/>
        <w:gridCol w:w="2260"/>
      </w:tblGrid>
      <w:tr>
        <w:tc>
          <w:tcPr>
            <w:tcW w:type="dxa" w:w="18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Quarter</w:t>
            </w:r>
          </w:p>
        </w:tc>
        <w:tc>
          <w:tcPr>
            <w:tcW w:type="dxa" w:w="22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Clients</w:t>
            </w:r>
          </w:p>
        </w:tc>
        <w:tc>
          <w:tcPr>
            <w:tcW w:type="dxa" w:w="9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Lives</w:t>
            </w:r>
          </w:p>
        </w:tc>
        <w:tc>
          <w:tcPr>
            <w:tcW w:type="dxa" w:w="22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Quarterly Rev (Cons.)</w:t>
            </w:r>
          </w:p>
        </w:tc>
        <w:tc>
          <w:tcPr>
            <w:tcW w:type="dxa" w:w="226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Quarterly Rev (Aggr.)</w:t>
            </w:r>
          </w:p>
        </w:tc>
      </w:tr>
      <w:tr>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Q1 (Mo 1–3)</w:t>
            </w:r>
          </w:p>
        </w:tc>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Internal pilot</w:t>
            </w:r>
          </w:p>
        </w:tc>
        <w:tc>
          <w:tcPr>
            <w:tcW w:type="dxa" w:w="9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4,000</w:t>
            </w:r>
          </w:p>
        </w:tc>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$0 (pilot)</w:t>
            </w:r>
          </w:p>
        </w:tc>
        <w:tc>
          <w:tcPr>
            <w:tcW w:type="dxa" w:w="22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$24K</w:t>
            </w:r>
          </w:p>
        </w:tc>
      </w:tr>
      <w:tr>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Q2 (Mo 4–6)</w:t>
            </w:r>
          </w:p>
        </w:tc>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Internal</w:t>
            </w:r>
          </w:p>
        </w:tc>
        <w:tc>
          <w:tcPr>
            <w:tcW w:type="dxa" w:w="9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4,000</w:t>
            </w:r>
          </w:p>
        </w:tc>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$0 (case study)</w:t>
            </w:r>
          </w:p>
        </w:tc>
        <w:tc>
          <w:tcPr>
            <w:tcW w:type="dxa" w:w="22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$36K</w:t>
            </w:r>
          </w:p>
        </w:tc>
      </w:tr>
      <w:tr>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Q3 (Mo 7–9)</w:t>
            </w:r>
          </w:p>
        </w:tc>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Internal + Paxton pilot</w:t>
            </w:r>
          </w:p>
        </w:tc>
        <w:tc>
          <w:tcPr>
            <w:tcW w:type="dxa" w:w="9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9,000</w:t>
            </w:r>
          </w:p>
        </w:tc>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$36K</w:t>
            </w:r>
          </w:p>
        </w:tc>
        <w:tc>
          <w:tcPr>
            <w:tcW w:type="dxa" w:w="22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$108K</w:t>
            </w:r>
          </w:p>
        </w:tc>
      </w:tr>
      <w:tr>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Q4 (Mo 10–12)</w:t>
            </w:r>
          </w:p>
        </w:tc>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Internal + Paxton + 1 small</w:t>
            </w:r>
          </w:p>
        </w:tc>
        <w:tc>
          <w:tcPr>
            <w:tcW w:type="dxa" w:w="9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17,000</w:t>
            </w:r>
          </w:p>
        </w:tc>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$108K</w:t>
            </w:r>
          </w:p>
        </w:tc>
        <w:tc>
          <w:tcPr>
            <w:tcW w:type="dxa" w:w="22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$180K</w:t>
            </w:r>
          </w:p>
        </w:tc>
      </w:tr>
      <w:tr>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Q5 (Mo 13–15)</w:t>
            </w:r>
          </w:p>
        </w:tc>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+ 2nd small MSO</w:t>
            </w:r>
          </w:p>
        </w:tc>
        <w:tc>
          <w:tcPr>
            <w:tcW w:type="dxa" w:w="9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19,000</w:t>
            </w:r>
          </w:p>
        </w:tc>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$144K</w:t>
            </w:r>
          </w:p>
        </w:tc>
        <w:tc>
          <w:tcPr>
            <w:tcW w:type="dxa" w:w="22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$216K</w:t>
            </w:r>
          </w:p>
        </w:tc>
      </w:tr>
      <w:tr>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Q6 (Mo 16–18)</w:t>
            </w:r>
          </w:p>
        </w:tc>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Stabilize, grow captures</w:t>
            </w:r>
          </w:p>
        </w:tc>
        <w:tc>
          <w:tcPr>
            <w:tcW w:type="dxa" w:w="9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21,000</w:t>
            </w:r>
          </w:p>
        </w:tc>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$180K</w:t>
            </w:r>
          </w:p>
        </w:tc>
        <w:tc>
          <w:tcPr>
            <w:tcW w:type="dxa" w:w="22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$270K</w:t>
            </w:r>
          </w:p>
        </w:tc>
      </w:tr>
      <w:tr>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Q7 (Mo 19–21)</w:t>
            </w:r>
          </w:p>
        </w:tc>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 Enterprise pilot subset</w:t>
            </w:r>
          </w:p>
        </w:tc>
        <w:tc>
          <w:tcPr>
            <w:tcW w:type="dxa" w:w="9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46,000</w:t>
            </w:r>
          </w:p>
        </w:tc>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$270K</w:t>
            </w:r>
          </w:p>
        </w:tc>
        <w:tc>
          <w:tcPr>
            <w:tcW w:type="dxa" w:w="22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$504K</w:t>
            </w:r>
          </w:p>
        </w:tc>
      </w:tr>
      <w:tr>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Q8 (Mo 22–24)</w:t>
            </w:r>
          </w:p>
        </w:tc>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Enterprise expanding</w:t>
            </w:r>
          </w:p>
        </w:tc>
        <w:tc>
          <w:tcPr>
            <w:tcW w:type="dxa" w:w="9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71,000</w:t>
            </w:r>
          </w:p>
        </w:tc>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$432K</w:t>
            </w:r>
          </w:p>
        </w:tc>
        <w:tc>
          <w:tcPr>
            <w:tcW w:type="dxa" w:w="22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$828K</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E7E5E4" w:sz="1"/>
              <w:left w:val="single" w:color="E7E5E4" w:sz="1"/>
              <w:bottom w:val="single" w:color="E7E5E4" w:sz="1"/>
              <w:right w:val="single" w:color="E7E5E4" w:sz="1"/>
            </w:tcBorders>
            <w:shd w:fill="DCFCE7" w:val="clear"/>
            <w:tcMar>
              <w:top w:type="dxa" w:w="80"/>
              <w:left w:type="dxa" w:w="120"/>
              <w:bottom w:type="dxa" w:w="80"/>
              <w:right w:type="dxa" w:w="120"/>
            </w:tcMar>
          </w:tcPr>
          <w:p>
            <w:r>
              <w:rPr>
                <w:rFonts w:ascii="Arial" w:cs="Arial" w:eastAsia="Arial" w:hAnsi="Arial"/>
                <w:b/>
                <w:bCs/>
                <w:color w:val="15803D"/>
                <w:sz w:val="20"/>
                <w:szCs w:val="20"/>
              </w:rPr>
              <w:t xml:space="preserve">Metric</w:t>
            </w:r>
          </w:p>
        </w:tc>
        <w:tc>
          <w:tcPr>
            <w:tcW w:type="dxa" w:w="2880"/>
            <w:tcBorders>
              <w:top w:val="single" w:color="E7E5E4" w:sz="1"/>
              <w:left w:val="single" w:color="E7E5E4" w:sz="1"/>
              <w:bottom w:val="single" w:color="E7E5E4" w:sz="1"/>
              <w:right w:val="single" w:color="E7E5E4" w:sz="1"/>
            </w:tcBorders>
            <w:shd w:fill="DCFCE7" w:val="clear"/>
            <w:tcMar>
              <w:top w:type="dxa" w:w="80"/>
              <w:left w:type="dxa" w:w="120"/>
              <w:bottom w:type="dxa" w:w="80"/>
              <w:right w:type="dxa" w:w="120"/>
            </w:tcMar>
          </w:tcPr>
          <w:p>
            <w:r>
              <w:rPr>
                <w:rFonts w:ascii="Arial" w:cs="Arial" w:eastAsia="Arial" w:hAnsi="Arial"/>
                <w:b/>
                <w:bCs/>
                <w:color w:val="15803D"/>
                <w:sz w:val="20"/>
                <w:szCs w:val="20"/>
              </w:rPr>
              <w:t xml:space="preserve">Conservative (24mo)</w:t>
            </w:r>
          </w:p>
        </w:tc>
        <w:tc>
          <w:tcPr>
            <w:tcW w:type="dxa" w:w="2880"/>
            <w:tcBorders>
              <w:top w:val="single" w:color="E7E5E4" w:sz="1"/>
              <w:left w:val="single" w:color="E7E5E4" w:sz="1"/>
              <w:bottom w:val="single" w:color="E7E5E4" w:sz="1"/>
              <w:right w:val="single" w:color="E7E5E4" w:sz="1"/>
            </w:tcBorders>
            <w:shd w:fill="DCFCE7" w:val="clear"/>
            <w:tcMar>
              <w:top w:type="dxa" w:w="80"/>
              <w:left w:type="dxa" w:w="120"/>
              <w:bottom w:type="dxa" w:w="80"/>
              <w:right w:type="dxa" w:w="120"/>
            </w:tcMar>
          </w:tcPr>
          <w:p>
            <w:r>
              <w:rPr>
                <w:rFonts w:ascii="Arial" w:cs="Arial" w:eastAsia="Arial" w:hAnsi="Arial"/>
                <w:b/>
                <w:bCs/>
                <w:color w:val="15803D"/>
                <w:sz w:val="20"/>
                <w:szCs w:val="20"/>
              </w:rPr>
              <w:t xml:space="preserve">Aggressive (24mo)</w:t>
            </w:r>
          </w:p>
        </w:tc>
      </w:tr>
      <w:tr>
        <w:tc>
          <w:tcPr>
            <w:tcW w:type="dxa" w:w="36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Total clients</w:t>
            </w:r>
          </w:p>
        </w:tc>
        <w:tc>
          <w:tcPr>
            <w:tcW w:type="dxa" w:w="288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5</w:t>
            </w:r>
          </w:p>
        </w:tc>
        <w:tc>
          <w:tcPr>
            <w:tcW w:type="dxa" w:w="288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6</w:t>
            </w:r>
          </w:p>
        </w:tc>
      </w:tr>
      <w:tr>
        <w:tc>
          <w:tcPr>
            <w:tcW w:type="dxa" w:w="36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Total lives under management</w:t>
            </w:r>
          </w:p>
        </w:tc>
        <w:tc>
          <w:tcPr>
            <w:tcW w:type="dxa" w:w="288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71,000</w:t>
            </w:r>
          </w:p>
        </w:tc>
        <w:tc>
          <w:tcPr>
            <w:tcW w:type="dxa" w:w="288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96,000</w:t>
            </w:r>
          </w:p>
        </w:tc>
      </w:tr>
      <w:tr>
        <w:tc>
          <w:tcPr>
            <w:tcW w:type="dxa" w:w="36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Run-rate ARR at Month 24</w:t>
            </w:r>
          </w:p>
        </w:tc>
        <w:tc>
          <w:tcPr>
            <w:tcW w:type="dxa" w:w="288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$1.7M</w:t>
            </w:r>
          </w:p>
        </w:tc>
        <w:tc>
          <w:tcPr>
            <w:tcW w:type="dxa" w:w="288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$3.3M</w:t>
            </w:r>
          </w:p>
        </w:tc>
      </w:tr>
      <w:tr>
        <w:tc>
          <w:tcPr>
            <w:tcW w:type="dxa" w:w="36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Cumulative revenue (24 months)</w:t>
            </w:r>
          </w:p>
        </w:tc>
        <w:tc>
          <w:tcPr>
            <w:tcW w:type="dxa" w:w="288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$1.17M</w:t>
            </w:r>
          </w:p>
        </w:tc>
        <w:tc>
          <w:tcPr>
            <w:tcW w:type="dxa" w:w="288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$2.17M</w:t>
            </w:r>
          </w:p>
        </w:tc>
      </w:tr>
    </w:tbl>
    <w:p>
      <w:pPr>
        <w:spacing w:after="200"/>
      </w:pPr>
    </w:p>
    <w:p>
      <w:pPr>
        <w:pStyle w:val="Heading2"/>
        <w:spacing w:after="120" w:before="280"/>
      </w:pPr>
      <w:r>
        <w:rPr>
          <w:rFonts w:ascii="Arial" w:cs="Arial" w:eastAsia="Arial" w:hAnsi="Arial"/>
          <w:b/>
          <w:bCs/>
          <w:color w:val="1C1917"/>
          <w:sz w:val="28"/>
          <w:szCs w:val="28"/>
        </w:rPr>
        <w:t xml:space="preserve">Path to Profitability</w:t>
      </w:r>
    </w:p>
    <w:p>
      <w:pPr>
        <w:spacing w:after="160"/>
      </w:pPr>
      <w:r>
        <w:rPr>
          <w:rFonts w:ascii="Arial" w:cs="Arial" w:eastAsia="Arial" w:hAnsi="Arial"/>
          <w:color w:val="57534E"/>
          <w:sz w:val="22"/>
          <w:szCs w:val="22"/>
        </w:rPr>
        <w:t xml:space="preserve">Under the conservative model, the platform reaches cash-flow breakeven around Month 18–20 when monthly revenue exceeds monthly burn. Under the aggressive model, breakeven occurs around Month 14–16. The enterprise client accelerates profitability dramatically — adding even 25,000 lives at $3 PMPM adds $75K/month in revenue.</w:t>
      </w:r>
    </w:p>
    <w:p>
      <w:pPr>
        <w:spacing w:after="160"/>
      </w:pPr>
      <w:r>
        <w:rPr>
          <w:rFonts w:ascii="Arial" w:cs="Arial" w:eastAsia="Arial" w:hAnsi="Arial"/>
          <w:b/>
          <w:bCs/>
          <w:color w:val="1C1917"/>
          <w:sz w:val="22"/>
          <w:szCs w:val="22"/>
        </w:rPr>
        <w:t xml:space="preserve">Key insight: </w:t>
      </w:r>
      <w:r>
        <w:rPr>
          <w:rFonts w:ascii="Arial" w:cs="Arial" w:eastAsia="Arial" w:hAnsi="Arial"/>
          <w:color w:val="57534E"/>
          <w:sz w:val="22"/>
          <w:szCs w:val="22"/>
        </w:rPr>
        <w:t xml:space="preserve">The business is profitable at approximately 15,000–20,000 managed lives under a lean cost structure. The prospect pipeline already contains 275,000 lives. The constraint is execution speed, not market size.</w:t>
      </w:r>
    </w:p>
    <w:p>
      <w:r>
        <w:br w:type="page"/>
      </w:r>
    </w:p>
    <w:p>
      <w:pPr>
        <w:pStyle w:val="Heading1"/>
        <w:spacing w:after="160" w:before="360"/>
      </w:pPr>
      <w:r>
        <w:rPr>
          <w:rFonts w:ascii="Arial" w:cs="Arial" w:eastAsia="Arial" w:hAnsi="Arial"/>
          <w:b/>
          <w:bCs/>
          <w:color w:val="1C1917"/>
          <w:sz w:val="36"/>
          <w:szCs w:val="36"/>
        </w:rPr>
        <w:t xml:space="preserve">5. Value Proposition by Client Size</w:t>
      </w:r>
    </w:p>
    <w:p>
      <w:pPr>
        <w:pStyle w:val="Heading2"/>
        <w:spacing w:after="120" w:before="280"/>
      </w:pPr>
      <w:r>
        <w:rPr>
          <w:rFonts w:ascii="Arial" w:cs="Arial" w:eastAsia="Arial" w:hAnsi="Arial"/>
          <w:b/>
          <w:bCs/>
          <w:color w:val="1C1917"/>
          <w:sz w:val="28"/>
          <w:szCs w:val="28"/>
        </w:rPr>
        <w:t xml:space="preserve">For Small MSOs / Physician Groups (2,000–5,000 lives)</w:t>
      </w:r>
    </w:p>
    <w:p>
      <w:pPr>
        <w:spacing w:after="160"/>
      </w:pPr>
      <w:r>
        <w:rPr>
          <w:rFonts w:ascii="Arial" w:cs="Arial" w:eastAsia="Arial" w:hAnsi="Arial"/>
          <w:b/>
          <w:bCs/>
          <w:color w:val="1C1917"/>
          <w:sz w:val="22"/>
          <w:szCs w:val="22"/>
        </w:rPr>
        <w:t xml:space="preserve">The pitch: </w:t>
      </w:r>
      <w:r>
        <w:rPr>
          <w:rFonts w:ascii="Arial" w:cs="Arial" w:eastAsia="Arial" w:hAnsi="Arial"/>
          <w:color w:val="57534E"/>
          <w:sz w:val="22"/>
          <w:szCs w:val="22"/>
        </w:rPr>
        <w:t xml:space="preserve">“You want to take risk on an MA contract but can’t afford to hire a quality director, analytics team, and care managers. Our platform gives you all three for less than one FTE.”</w:t>
      </w:r>
    </w:p>
    <w:p>
      <w:pPr>
        <w:spacing w:after="160"/>
      </w:pPr>
      <w:r>
        <w:rPr>
          <w:rFonts w:ascii="Arial" w:cs="Arial" w:eastAsia="Arial" w:hAnsi="Arial"/>
          <w:b/>
          <w:bCs/>
          <w:color w:val="1C1917"/>
          <w:sz w:val="22"/>
          <w:szCs w:val="22"/>
        </w:rPr>
        <w:t xml:space="preserve">ROI: </w:t>
      </w:r>
      <w:r>
        <w:rPr>
          <w:rFonts w:ascii="Arial" w:cs="Arial" w:eastAsia="Arial" w:hAnsi="Arial"/>
          <w:color w:val="57534E"/>
          <w:sz w:val="22"/>
          <w:szCs w:val="22"/>
        </w:rPr>
        <w:t xml:space="preserve">At 4,000 lives with average RAF 1.2, capturing 5% more HCCs (200 additional codes × $1,500 avg incremental) = $300K in additional risk-adjusted revenue. Platform cost at $4 PMPM = $192K. Net Year 1 ROI: $108K+, before quality bonus improvements.</w:t>
      </w:r>
    </w:p>
    <w:p>
      <w:pPr>
        <w:pStyle w:val="Heading2"/>
        <w:spacing w:after="120" w:before="280"/>
      </w:pPr>
      <w:r>
        <w:rPr>
          <w:rFonts w:ascii="Arial" w:cs="Arial" w:eastAsia="Arial" w:hAnsi="Arial"/>
          <w:b/>
          <w:bCs/>
          <w:color w:val="1C1917"/>
          <w:sz w:val="28"/>
          <w:szCs w:val="28"/>
        </w:rPr>
        <w:t xml:space="preserve">For Mid-Market MSOs like Paxton Medical (10,000–30,000 lives)</w:t>
      </w:r>
    </w:p>
    <w:p>
      <w:pPr>
        <w:spacing w:after="160"/>
      </w:pPr>
      <w:r>
        <w:rPr>
          <w:rFonts w:ascii="Arial" w:cs="Arial" w:eastAsia="Arial" w:hAnsi="Arial"/>
          <w:b/>
          <w:bCs/>
          <w:color w:val="1C1917"/>
          <w:sz w:val="22"/>
          <w:szCs w:val="22"/>
        </w:rPr>
        <w:t xml:space="preserve">The pitch: </w:t>
      </w:r>
      <w:r>
        <w:rPr>
          <w:rFonts w:ascii="Arial" w:cs="Arial" w:eastAsia="Arial" w:hAnsi="Arial"/>
          <w:color w:val="57534E"/>
          <w:sz w:val="22"/>
          <w:szCs w:val="22"/>
        </w:rPr>
        <w:t xml:space="preserve">“You’re already doing value-based care well. We make you do it 3× better by replacing fragmented tools with one AI-driven platform that captures HCCs prospectively, tracks quality in real-time, and identifies $1M+ in cost optimization.”</w:t>
      </w:r>
    </w:p>
    <w:p>
      <w:pPr>
        <w:spacing w:after="160"/>
      </w:pPr>
      <w:r>
        <w:rPr>
          <w:rFonts w:ascii="Arial" w:cs="Arial" w:eastAsia="Arial" w:hAnsi="Arial"/>
          <w:b/>
          <w:bCs/>
          <w:color w:val="1C1917"/>
          <w:sz w:val="22"/>
          <w:szCs w:val="22"/>
        </w:rPr>
        <w:t xml:space="preserve">ROI: </w:t>
      </w:r>
      <w:r>
        <w:rPr>
          <w:rFonts w:ascii="Arial" w:cs="Arial" w:eastAsia="Arial" w:hAnsi="Arial"/>
          <w:color w:val="57534E"/>
          <w:sz w:val="22"/>
          <w:szCs w:val="22"/>
        </w:rPr>
        <w:t xml:space="preserve">At 15,000 lives, 1% RAF accuracy improvement ≈ $1.5M in incremental revenue. 10% reduction in avoidable inpatient admissions = $500K–$1M savings. Combined value: $2–2.5M against $540–720K platform cost.</w:t>
      </w:r>
    </w:p>
    <w:p>
      <w:pPr>
        <w:pStyle w:val="Heading2"/>
        <w:spacing w:after="120" w:before="280"/>
      </w:pPr>
      <w:r>
        <w:rPr>
          <w:rFonts w:ascii="Arial" w:cs="Arial" w:eastAsia="Arial" w:hAnsi="Arial"/>
          <w:b/>
          <w:bCs/>
          <w:color w:val="1C1917"/>
          <w:sz w:val="28"/>
          <w:szCs w:val="28"/>
        </w:rPr>
        <w:t xml:space="preserve">For Enterprise (Access Healthcare / BetterHealth, 200K+ lives)</w:t>
      </w:r>
    </w:p>
    <w:p>
      <w:pPr>
        <w:spacing w:after="160"/>
      </w:pPr>
      <w:r>
        <w:rPr>
          <w:rFonts w:ascii="Arial" w:cs="Arial" w:eastAsia="Arial" w:hAnsi="Arial"/>
          <w:b/>
          <w:bCs/>
          <w:color w:val="1C1917"/>
          <w:sz w:val="22"/>
          <w:szCs w:val="22"/>
        </w:rPr>
        <w:t xml:space="preserve">The pitch: </w:t>
      </w:r>
      <w:r>
        <w:rPr>
          <w:rFonts w:ascii="Arial" w:cs="Arial" w:eastAsia="Arial" w:hAnsi="Arial"/>
          <w:color w:val="57534E"/>
          <w:sz w:val="22"/>
          <w:szCs w:val="22"/>
        </w:rPr>
        <w:t xml:space="preserve">“At your scale, even small improvements compound to enormous numbers. We found $15M in missed RAF capture and $12M in cost optimization across your first 100K lives we analyzed.”</w:t>
      </w:r>
    </w:p>
    <w:p>
      <w:pPr>
        <w:spacing w:after="160"/>
      </w:pPr>
      <w:r>
        <w:rPr>
          <w:rFonts w:ascii="Arial" w:cs="Arial" w:eastAsia="Arial" w:hAnsi="Arial"/>
          <w:b/>
          <w:bCs/>
          <w:color w:val="1C1917"/>
          <w:sz w:val="22"/>
          <w:szCs w:val="22"/>
        </w:rPr>
        <w:t xml:space="preserve">ROI: </w:t>
      </w:r>
      <w:r>
        <w:rPr>
          <w:rFonts w:ascii="Arial" w:cs="Arial" w:eastAsia="Arial" w:hAnsi="Arial"/>
          <w:color w:val="57534E"/>
          <w:sz w:val="22"/>
          <w:szCs w:val="22"/>
        </w:rPr>
        <w:t xml:space="preserve">0.5% RAF improvement = $12–15M. Reaching 4.0 Star Rating = $15–20M in quality bonus payments. $10 PMPM medical cost reduction = $24M+. The platform cost is a rounding error against these numbers.</w:t>
      </w:r>
    </w:p>
    <w:p>
      <w:r>
        <w:br w:type="page"/>
      </w:r>
    </w:p>
    <w:p>
      <w:pPr>
        <w:pStyle w:val="Heading1"/>
        <w:spacing w:after="160" w:before="360"/>
      </w:pPr>
      <w:r>
        <w:rPr>
          <w:rFonts w:ascii="Arial" w:cs="Arial" w:eastAsia="Arial" w:hAnsi="Arial"/>
          <w:b/>
          <w:bCs/>
          <w:color w:val="1C1917"/>
          <w:sz w:val="36"/>
          <w:szCs w:val="36"/>
        </w:rPr>
        <w:t xml:space="preserve">6. Go-to-Market Execution Plan</w:t>
      </w:r>
    </w:p>
    <w:p>
      <w:pPr>
        <w:pStyle w:val="Heading2"/>
        <w:spacing w:after="120" w:before="280"/>
      </w:pPr>
      <w:r>
        <w:rPr>
          <w:rFonts w:ascii="Arial" w:cs="Arial" w:eastAsia="Arial" w:hAnsi="Arial"/>
          <w:b/>
          <w:bCs/>
          <w:color w:val="1C1917"/>
          <w:sz w:val="28"/>
          <w:szCs w:val="28"/>
        </w:rPr>
        <w:t xml:space="preserve">Phase 1: Prove It (Months 1–6)</w:t>
      </w:r>
    </w:p>
    <w:p>
      <w:pPr>
        <w:spacing w:after="160"/>
      </w:pPr>
      <w:r>
        <w:rPr>
          <w:rFonts w:ascii="Arial" w:cs="Arial" w:eastAsia="Arial" w:hAnsi="Arial"/>
          <w:b/>
          <w:bCs/>
          <w:color w:val="1C1917"/>
          <w:sz w:val="22"/>
          <w:szCs w:val="22"/>
        </w:rPr>
        <w:t xml:space="preserve">Objective: </w:t>
      </w:r>
      <w:r>
        <w:rPr>
          <w:rFonts w:ascii="Arial" w:cs="Arial" w:eastAsia="Arial" w:hAnsi="Arial"/>
          <w:color w:val="57534E"/>
          <w:sz w:val="22"/>
          <w:szCs w:val="22"/>
        </w:rPr>
        <w:t xml:space="preserve">Deploy on internal panel. Build measurable case study.</w:t>
      </w:r>
    </w:p>
    <w:p>
      <w:pPr>
        <w:pStyle w:val="ListParagraph"/>
        <w:numPr>
          <w:ilvl w:val="0"/>
          <w:numId w:val="3"/>
        </w:numPr>
        <w:spacing w:after="80"/>
      </w:pPr>
      <w:r>
        <w:rPr>
          <w:rFonts w:ascii="Arial" w:cs="Arial" w:eastAsia="Arial" w:hAnsi="Arial"/>
          <w:color w:val="57534E"/>
          <w:sz w:val="22"/>
          <w:szCs w:val="22"/>
        </w:rPr>
        <w:t xml:space="preserve">Deploy SNF Admit Assist for all hospitalist encounters at SNF facilities</w:t>
      </w:r>
    </w:p>
    <w:p>
      <w:pPr>
        <w:pStyle w:val="ListParagraph"/>
        <w:numPr>
          <w:ilvl w:val="0"/>
          <w:numId w:val="3"/>
        </w:numPr>
        <w:spacing w:after="80"/>
      </w:pPr>
      <w:r>
        <w:rPr>
          <w:rFonts w:ascii="Arial" w:cs="Arial" w:eastAsia="Arial" w:hAnsi="Arial"/>
          <w:color w:val="57534E"/>
          <w:sz w:val="22"/>
          <w:szCs w:val="22"/>
        </w:rPr>
        <w:t xml:space="preserve">Run AutoCoder against internal panel claims data to establish baseline vs. captured HCCs</w:t>
      </w:r>
    </w:p>
    <w:p>
      <w:pPr>
        <w:pStyle w:val="ListParagraph"/>
        <w:numPr>
          <w:ilvl w:val="0"/>
          <w:numId w:val="3"/>
        </w:numPr>
        <w:spacing w:after="80"/>
      </w:pPr>
      <w:r>
        <w:rPr>
          <w:rFonts w:ascii="Arial" w:cs="Arial" w:eastAsia="Arial" w:hAnsi="Arial"/>
          <w:color w:val="57534E"/>
          <w:sz w:val="22"/>
          <w:szCs w:val="22"/>
        </w:rPr>
        <w:t xml:space="preserve">Install PCC Chrome Extension v2 — test dashboard scraper + smart highlighter on live PCC</w:t>
      </w:r>
    </w:p>
    <w:p>
      <w:pPr>
        <w:pStyle w:val="ListParagraph"/>
        <w:numPr>
          <w:ilvl w:val="0"/>
          <w:numId w:val="3"/>
        </w:numPr>
        <w:spacing w:after="80"/>
      </w:pPr>
      <w:r>
        <w:rPr>
          <w:rFonts w:ascii="Arial" w:cs="Arial" w:eastAsia="Arial" w:hAnsi="Arial"/>
          <w:color w:val="57534E"/>
          <w:sz w:val="22"/>
          <w:szCs w:val="22"/>
        </w:rPr>
        <w:t xml:space="preserve">Build data ingestion pipeline using internal Humana/Aetna plan data as first real test</w:t>
      </w:r>
    </w:p>
    <w:p>
      <w:pPr>
        <w:pStyle w:val="ListParagraph"/>
        <w:numPr>
          <w:ilvl w:val="0"/>
          <w:numId w:val="3"/>
        </w:numPr>
        <w:spacing w:after="80"/>
      </w:pPr>
      <w:r>
        <w:rPr>
          <w:rFonts w:ascii="Arial" w:cs="Arial" w:eastAsia="Arial" w:hAnsi="Arial"/>
          <w:color w:val="57534E"/>
          <w:sz w:val="22"/>
          <w:szCs w:val="22"/>
        </w:rPr>
        <w:t xml:space="preserve">Track: time per encounter (before/after), HCCs per visit, care gaps closed, denials prevented</w:t>
      </w:r>
    </w:p>
    <w:p>
      <w:pPr>
        <w:pStyle w:val="ListParagraph"/>
        <w:numPr>
          <w:ilvl w:val="0"/>
          <w:numId w:val="3"/>
        </w:numPr>
        <w:spacing w:after="80"/>
      </w:pPr>
      <w:r>
        <w:rPr>
          <w:rFonts w:ascii="Arial" w:cs="Arial" w:eastAsia="Arial" w:hAnsi="Arial"/>
          <w:color w:val="57534E"/>
          <w:sz w:val="22"/>
          <w:szCs w:val="22"/>
        </w:rPr>
        <w:t xml:space="preserve">Document outcomes for case study: before/after RAF scores, provider testimonials, dollar impact</w:t>
      </w:r>
    </w:p>
    <w:p>
      <w:pPr>
        <w:pStyle w:val="Heading2"/>
        <w:spacing w:after="120" w:before="280"/>
      </w:pPr>
      <w:r>
        <w:rPr>
          <w:rFonts w:ascii="Arial" w:cs="Arial" w:eastAsia="Arial" w:hAnsi="Arial"/>
          <w:b/>
          <w:bCs/>
          <w:color w:val="1C1917"/>
          <w:sz w:val="28"/>
          <w:szCs w:val="28"/>
        </w:rPr>
        <w:t xml:space="preserve">Phase 2: Anchor Client (Months 4–9)</w:t>
      </w:r>
    </w:p>
    <w:p>
      <w:pPr>
        <w:spacing w:after="160"/>
      </w:pPr>
      <w:r>
        <w:rPr>
          <w:rFonts w:ascii="Arial" w:cs="Arial" w:eastAsia="Arial" w:hAnsi="Arial"/>
          <w:b/>
          <w:bCs/>
          <w:color w:val="1C1917"/>
          <w:sz w:val="22"/>
          <w:szCs w:val="22"/>
        </w:rPr>
        <w:t xml:space="preserve">Objective: </w:t>
      </w:r>
      <w:r>
        <w:rPr>
          <w:rFonts w:ascii="Arial" w:cs="Arial" w:eastAsia="Arial" w:hAnsi="Arial"/>
          <w:color w:val="57534E"/>
          <w:sz w:val="22"/>
          <w:szCs w:val="22"/>
        </w:rPr>
        <w:t xml:space="preserve">Close Paxton Medical Management as the first external client.</w:t>
      </w:r>
    </w:p>
    <w:p>
      <w:pPr>
        <w:pStyle w:val="ListParagraph"/>
        <w:numPr>
          <w:ilvl w:val="0"/>
          <w:numId w:val="4"/>
        </w:numPr>
        <w:spacing w:after="80"/>
      </w:pPr>
      <w:r>
        <w:rPr>
          <w:rFonts w:ascii="Arial" w:cs="Arial" w:eastAsia="Arial" w:hAnsi="Arial"/>
          <w:color w:val="57534E"/>
          <w:sz w:val="22"/>
          <w:szCs w:val="22"/>
        </w:rPr>
        <w:t xml:space="preserve">Approach Paxton with retrospective claims analysis offer (free, they provide data extract)</w:t>
      </w:r>
    </w:p>
    <w:p>
      <w:pPr>
        <w:pStyle w:val="ListParagraph"/>
        <w:numPr>
          <w:ilvl w:val="0"/>
          <w:numId w:val="4"/>
        </w:numPr>
        <w:spacing w:after="80"/>
      </w:pPr>
      <w:r>
        <w:rPr>
          <w:rFonts w:ascii="Arial" w:cs="Arial" w:eastAsia="Arial" w:hAnsi="Arial"/>
          <w:color w:val="57534E"/>
          <w:sz w:val="22"/>
          <w:szCs w:val="22"/>
        </w:rPr>
        <w:t xml:space="preserve">Run AutoCoder + expenditure analytics against their data and present dollar-value findings</w:t>
      </w:r>
    </w:p>
    <w:p>
      <w:pPr>
        <w:pStyle w:val="ListParagraph"/>
        <w:numPr>
          <w:ilvl w:val="0"/>
          <w:numId w:val="4"/>
        </w:numPr>
        <w:spacing w:after="80"/>
      </w:pPr>
      <w:r>
        <w:rPr>
          <w:rFonts w:ascii="Arial" w:cs="Arial" w:eastAsia="Arial" w:hAnsi="Arial"/>
          <w:color w:val="57534E"/>
          <w:sz w:val="22"/>
          <w:szCs w:val="22"/>
        </w:rPr>
        <w:t xml:space="preserve">Propose 90-day pilot on a population subset (one Humana plan, 3–5K lives)</w:t>
      </w:r>
    </w:p>
    <w:p>
      <w:pPr>
        <w:pStyle w:val="ListParagraph"/>
        <w:numPr>
          <w:ilvl w:val="0"/>
          <w:numId w:val="4"/>
        </w:numPr>
        <w:spacing w:after="80"/>
      </w:pPr>
      <w:r>
        <w:rPr>
          <w:rFonts w:ascii="Arial" w:cs="Arial" w:eastAsia="Arial" w:hAnsi="Arial"/>
          <w:color w:val="57534E"/>
          <w:sz w:val="22"/>
          <w:szCs w:val="22"/>
        </w:rPr>
        <w:t xml:space="preserve">Deploy platform alongside their existing workflows — overlay mode, zero disruption</w:t>
      </w:r>
    </w:p>
    <w:p>
      <w:pPr>
        <w:pStyle w:val="ListParagraph"/>
        <w:numPr>
          <w:ilvl w:val="0"/>
          <w:numId w:val="4"/>
        </w:numPr>
        <w:spacing w:after="80"/>
      </w:pPr>
      <w:r>
        <w:rPr>
          <w:rFonts w:ascii="Arial" w:cs="Arial" w:eastAsia="Arial" w:hAnsi="Arial"/>
          <w:color w:val="57534E"/>
          <w:sz w:val="22"/>
          <w:szCs w:val="22"/>
        </w:rPr>
        <w:t xml:space="preserve">Measure improvement vs. their baseline on RAF capture, quality metrics, time savings</w:t>
      </w:r>
    </w:p>
    <w:p>
      <w:pPr>
        <w:pStyle w:val="ListParagraph"/>
        <w:numPr>
          <w:ilvl w:val="0"/>
          <w:numId w:val="4"/>
        </w:numPr>
        <w:spacing w:after="80"/>
      </w:pPr>
      <w:r>
        <w:rPr>
          <w:rFonts w:ascii="Arial" w:cs="Arial" w:eastAsia="Arial" w:hAnsi="Arial"/>
          <w:color w:val="57534E"/>
          <w:sz w:val="22"/>
          <w:szCs w:val="22"/>
        </w:rPr>
        <w:t xml:space="preserve">Convert pilot to full contract at Month 10–12 based on demonstrated results</w:t>
      </w:r>
    </w:p>
    <w:p>
      <w:pPr>
        <w:pStyle w:val="Heading2"/>
        <w:spacing w:after="120" w:before="280"/>
      </w:pPr>
      <w:r>
        <w:rPr>
          <w:rFonts w:ascii="Arial" w:cs="Arial" w:eastAsia="Arial" w:hAnsi="Arial"/>
          <w:b/>
          <w:bCs/>
          <w:color w:val="1C1917"/>
          <w:sz w:val="28"/>
          <w:szCs w:val="28"/>
        </w:rPr>
        <w:t xml:space="preserve">Phase 3: Scale (Months 9–18)</w:t>
      </w:r>
    </w:p>
    <w:p>
      <w:pPr>
        <w:spacing w:after="160"/>
      </w:pPr>
      <w:r>
        <w:rPr>
          <w:rFonts w:ascii="Arial" w:cs="Arial" w:eastAsia="Arial" w:hAnsi="Arial"/>
          <w:b/>
          <w:bCs/>
          <w:color w:val="1C1917"/>
          <w:sz w:val="22"/>
          <w:szCs w:val="22"/>
        </w:rPr>
        <w:t xml:space="preserve">Objective: </w:t>
      </w:r>
      <w:r>
        <w:rPr>
          <w:rFonts w:ascii="Arial" w:cs="Arial" w:eastAsia="Arial" w:hAnsi="Arial"/>
          <w:color w:val="57534E"/>
          <w:sz w:val="22"/>
          <w:szCs w:val="22"/>
        </w:rPr>
        <w:t xml:space="preserve">Add smaller MSOs. Build toward enterprise readiness.</w:t>
      </w:r>
    </w:p>
    <w:p>
      <w:pPr>
        <w:pStyle w:val="ListParagraph"/>
        <w:numPr>
          <w:ilvl w:val="0"/>
          <w:numId w:val="5"/>
        </w:numPr>
        <w:spacing w:after="80"/>
      </w:pPr>
      <w:r>
        <w:rPr>
          <w:rFonts w:ascii="Arial" w:cs="Arial" w:eastAsia="Arial" w:hAnsi="Arial"/>
          <w:color w:val="57534E"/>
          <w:sz w:val="22"/>
          <w:szCs w:val="22"/>
        </w:rPr>
        <w:t xml:space="preserve">Onboard the two smaller regional MSOs using the now-proven rapid deployment playbook</w:t>
      </w:r>
    </w:p>
    <w:p>
      <w:pPr>
        <w:pStyle w:val="ListParagraph"/>
        <w:numPr>
          <w:ilvl w:val="0"/>
          <w:numId w:val="5"/>
        </w:numPr>
        <w:spacing w:after="80"/>
      </w:pPr>
      <w:r>
        <w:rPr>
          <w:rFonts w:ascii="Arial" w:cs="Arial" w:eastAsia="Arial" w:hAnsi="Arial"/>
          <w:color w:val="57534E"/>
          <w:sz w:val="22"/>
          <w:szCs w:val="22"/>
        </w:rPr>
        <w:t xml:space="preserve">Expand Paxton engagement to full population and additional modules (quality, expenditure, care mgmt)</w:t>
      </w:r>
    </w:p>
    <w:p>
      <w:pPr>
        <w:pStyle w:val="ListParagraph"/>
        <w:numPr>
          <w:ilvl w:val="0"/>
          <w:numId w:val="5"/>
        </w:numPr>
        <w:spacing w:after="80"/>
      </w:pPr>
      <w:r>
        <w:rPr>
          <w:rFonts w:ascii="Arial" w:cs="Arial" w:eastAsia="Arial" w:hAnsi="Arial"/>
          <w:color w:val="57534E"/>
          <w:sz w:val="22"/>
          <w:szCs w:val="22"/>
        </w:rPr>
        <w:t xml:space="preserve">Publish case study with concrete ROI numbers (with Paxton’s permission)</w:t>
      </w:r>
    </w:p>
    <w:p>
      <w:pPr>
        <w:pStyle w:val="ListParagraph"/>
        <w:numPr>
          <w:ilvl w:val="0"/>
          <w:numId w:val="5"/>
        </w:numPr>
        <w:spacing w:after="80"/>
      </w:pPr>
      <w:r>
        <w:rPr>
          <w:rFonts w:ascii="Arial" w:cs="Arial" w:eastAsia="Arial" w:hAnsi="Arial"/>
          <w:color w:val="57534E"/>
          <w:sz w:val="22"/>
          <w:szCs w:val="22"/>
        </w:rPr>
        <w:t xml:space="preserve">Attend FLAACOs, AMGA, and regional managed care conferences for visibility</w:t>
      </w:r>
    </w:p>
    <w:p>
      <w:pPr>
        <w:pStyle w:val="ListParagraph"/>
        <w:numPr>
          <w:ilvl w:val="0"/>
          <w:numId w:val="5"/>
        </w:numPr>
        <w:spacing w:after="80"/>
      </w:pPr>
      <w:r>
        <w:rPr>
          <w:rFonts w:ascii="Arial" w:cs="Arial" w:eastAsia="Arial" w:hAnsi="Arial"/>
          <w:color w:val="57534E"/>
          <w:sz w:val="22"/>
          <w:szCs w:val="22"/>
        </w:rPr>
        <w:t xml:space="preserve">Begin enterprise outreach to Access Healthcare / BetterHealth with retrospective analysis offer</w:t>
      </w:r>
    </w:p>
    <w:p>
      <w:pPr>
        <w:pStyle w:val="ListParagraph"/>
        <w:numPr>
          <w:ilvl w:val="0"/>
          <w:numId w:val="5"/>
        </w:numPr>
        <w:spacing w:after="80"/>
      </w:pPr>
      <w:r>
        <w:rPr>
          <w:rFonts w:ascii="Arial" w:cs="Arial" w:eastAsia="Arial" w:hAnsi="Arial"/>
          <w:color w:val="57534E"/>
          <w:sz w:val="22"/>
          <w:szCs w:val="22"/>
        </w:rPr>
        <w:t xml:space="preserve">Pass security assessment requirements for enterprise readiness (SOC 2, HITRUST prep)</w:t>
      </w:r>
    </w:p>
    <w:p>
      <w:pPr>
        <w:pStyle w:val="Heading2"/>
        <w:spacing w:after="120" w:before="280"/>
      </w:pPr>
      <w:r>
        <w:rPr>
          <w:rFonts w:ascii="Arial" w:cs="Arial" w:eastAsia="Arial" w:hAnsi="Arial"/>
          <w:b/>
          <w:bCs/>
          <w:color w:val="1C1917"/>
          <w:sz w:val="28"/>
          <w:szCs w:val="28"/>
        </w:rPr>
        <w:t xml:space="preserve">Phase 4: Enterprise + Expansion (Months 18–24)</w:t>
      </w:r>
    </w:p>
    <w:p>
      <w:pPr>
        <w:spacing w:after="160"/>
      </w:pPr>
      <w:r>
        <w:rPr>
          <w:rFonts w:ascii="Arial" w:cs="Arial" w:eastAsia="Arial" w:hAnsi="Arial"/>
          <w:b/>
          <w:bCs/>
          <w:color w:val="1C1917"/>
          <w:sz w:val="22"/>
          <w:szCs w:val="22"/>
        </w:rPr>
        <w:t xml:space="preserve">Objective: </w:t>
      </w:r>
      <w:r>
        <w:rPr>
          <w:rFonts w:ascii="Arial" w:cs="Arial" w:eastAsia="Arial" w:hAnsi="Arial"/>
          <w:color w:val="57534E"/>
          <w:sz w:val="22"/>
          <w:szCs w:val="22"/>
        </w:rPr>
        <w:t xml:space="preserve">Close enterprise deal. Establish market position.</w:t>
      </w:r>
    </w:p>
    <w:p>
      <w:pPr>
        <w:pStyle w:val="ListParagraph"/>
        <w:numPr>
          <w:ilvl w:val="0"/>
          <w:numId w:val="6"/>
        </w:numPr>
        <w:spacing w:after="80"/>
      </w:pPr>
      <w:r>
        <w:rPr>
          <w:rFonts w:ascii="Arial" w:cs="Arial" w:eastAsia="Arial" w:hAnsi="Arial"/>
          <w:color w:val="57534E"/>
          <w:sz w:val="22"/>
          <w:szCs w:val="22"/>
        </w:rPr>
        <w:t xml:space="preserve">Execute enterprise pilot with population subset (25–50K lives)</w:t>
      </w:r>
    </w:p>
    <w:p>
      <w:pPr>
        <w:pStyle w:val="ListParagraph"/>
        <w:numPr>
          <w:ilvl w:val="0"/>
          <w:numId w:val="6"/>
        </w:numPr>
        <w:spacing w:after="80"/>
      </w:pPr>
      <w:r>
        <w:rPr>
          <w:rFonts w:ascii="Arial" w:cs="Arial" w:eastAsia="Arial" w:hAnsi="Arial"/>
          <w:color w:val="57534E"/>
          <w:sz w:val="22"/>
          <w:szCs w:val="22"/>
        </w:rPr>
        <w:t xml:space="preserve">Scale multi-tenant infrastructure for concurrent client deployments</w:t>
      </w:r>
    </w:p>
    <w:p>
      <w:pPr>
        <w:pStyle w:val="ListParagraph"/>
        <w:numPr>
          <w:ilvl w:val="0"/>
          <w:numId w:val="6"/>
        </w:numPr>
        <w:spacing w:after="80"/>
      </w:pPr>
      <w:r>
        <w:rPr>
          <w:rFonts w:ascii="Arial" w:cs="Arial" w:eastAsia="Arial" w:hAnsi="Arial"/>
          <w:color w:val="57534E"/>
          <w:sz w:val="22"/>
          <w:szCs w:val="22"/>
        </w:rPr>
        <w:t xml:space="preserve">Explore geographic expansion: Texas, California, New York MSO markets</w:t>
      </w:r>
    </w:p>
    <w:p>
      <w:pPr>
        <w:pStyle w:val="ListParagraph"/>
        <w:numPr>
          <w:ilvl w:val="0"/>
          <w:numId w:val="6"/>
        </w:numPr>
        <w:spacing w:after="80"/>
      </w:pPr>
      <w:r>
        <w:rPr>
          <w:rFonts w:ascii="Arial" w:cs="Arial" w:eastAsia="Arial" w:hAnsi="Arial"/>
          <w:color w:val="57534E"/>
          <w:sz w:val="22"/>
          <w:szCs w:val="22"/>
        </w:rPr>
        <w:t xml:space="preserve">Evaluate strategic partnerships: clearinghouses (Availity), health plan analytics teams</w:t>
      </w:r>
    </w:p>
    <w:p>
      <w:pPr>
        <w:pStyle w:val="ListParagraph"/>
        <w:numPr>
          <w:ilvl w:val="0"/>
          <w:numId w:val="6"/>
        </w:numPr>
        <w:spacing w:after="80"/>
      </w:pPr>
      <w:r>
        <w:rPr>
          <w:rFonts w:ascii="Arial" w:cs="Arial" w:eastAsia="Arial" w:hAnsi="Arial"/>
          <w:color w:val="57534E"/>
          <w:sz w:val="22"/>
          <w:szCs w:val="22"/>
        </w:rPr>
        <w:t xml:space="preserve">Consider fundraise if growth trajectory warrants acceleration beyond organic revenue</w:t>
      </w:r>
    </w:p>
    <w:p>
      <w:r>
        <w:br w:type="page"/>
      </w:r>
    </w:p>
    <w:p>
      <w:pPr>
        <w:pStyle w:val="Heading1"/>
        <w:spacing w:after="160" w:before="360"/>
      </w:pPr>
      <w:r>
        <w:rPr>
          <w:rFonts w:ascii="Arial" w:cs="Arial" w:eastAsia="Arial" w:hAnsi="Arial"/>
          <w:b/>
          <w:bCs/>
          <w:color w:val="1C1917"/>
          <w:sz w:val="36"/>
          <w:szCs w:val="36"/>
        </w:rPr>
        <w:t xml:space="preserve">7. Sales Playbook</w:t>
      </w:r>
    </w:p>
    <w:p>
      <w:pPr>
        <w:pStyle w:val="Heading2"/>
        <w:spacing w:after="120" w:before="280"/>
      </w:pPr>
      <w:r>
        <w:rPr>
          <w:rFonts w:ascii="Arial" w:cs="Arial" w:eastAsia="Arial" w:hAnsi="Arial"/>
          <w:b/>
          <w:bCs/>
          <w:color w:val="1C1917"/>
          <w:sz w:val="28"/>
          <w:szCs w:val="28"/>
        </w:rPr>
        <w:t xml:space="preserve">Lead with the Free Retrospective Analysis</w:t>
      </w:r>
    </w:p>
    <w:p>
      <w:pPr>
        <w:spacing w:after="160"/>
      </w:pPr>
      <w:r>
        <w:rPr>
          <w:rFonts w:ascii="Arial" w:cs="Arial" w:eastAsia="Arial" w:hAnsi="Arial"/>
          <w:color w:val="57534E"/>
          <w:sz w:val="22"/>
          <w:szCs w:val="22"/>
        </w:rPr>
        <w:t xml:space="preserve">This is the primary sales motion. It costs the prospect nothing, delivers immediate value, and creates a natural conversion funnel.</w:t>
      </w:r>
    </w:p>
    <w:p>
      <w:pPr>
        <w:pStyle w:val="ListParagraph"/>
        <w:numPr>
          <w:ilvl w:val="0"/>
          <w:numId w:val="7"/>
        </w:numPr>
        <w:spacing w:after="80"/>
      </w:pPr>
      <w:r>
        <w:rPr>
          <w:rFonts w:ascii="Arial" w:cs="Arial" w:eastAsia="Arial" w:hAnsi="Arial"/>
          <w:color w:val="57534E"/>
          <w:sz w:val="22"/>
          <w:szCs w:val="22"/>
        </w:rPr>
        <w:t xml:space="preserve">Request 12-month claims data extract (de-identified acceptable — use redact.health if needed)</w:t>
      </w:r>
    </w:p>
    <w:p>
      <w:pPr>
        <w:pStyle w:val="ListParagraph"/>
        <w:numPr>
          <w:ilvl w:val="0"/>
          <w:numId w:val="7"/>
        </w:numPr>
        <w:spacing w:after="80"/>
      </w:pPr>
      <w:r>
        <w:rPr>
          <w:rFonts w:ascii="Arial" w:cs="Arial" w:eastAsia="Arial" w:hAnsi="Arial"/>
          <w:color w:val="57534E"/>
          <w:sz w:val="22"/>
          <w:szCs w:val="22"/>
        </w:rPr>
        <w:t xml:space="preserve">Run AutoCoder to identify: codes needing more specificity, medications without supporting diagnoses, lab values suggesting undocumented conditions, HCC recapture opportunities</w:t>
      </w:r>
    </w:p>
    <w:p>
      <w:pPr>
        <w:pStyle w:val="ListParagraph"/>
        <w:numPr>
          <w:ilvl w:val="0"/>
          <w:numId w:val="7"/>
        </w:numPr>
        <w:spacing w:after="80"/>
      </w:pPr>
      <w:r>
        <w:rPr>
          <w:rFonts w:ascii="Arial" w:cs="Arial" w:eastAsia="Arial" w:hAnsi="Arial"/>
          <w:color w:val="57534E"/>
          <w:sz w:val="22"/>
          <w:szCs w:val="22"/>
        </w:rPr>
        <w:t xml:space="preserve">Run expenditure analytics to identify: above-benchmark facilities, avoidable admits/readmissions, pharmacy optimization, specialist utilization outliers</w:t>
      </w:r>
    </w:p>
    <w:p>
      <w:pPr>
        <w:pStyle w:val="ListParagraph"/>
        <w:numPr>
          <w:ilvl w:val="0"/>
          <w:numId w:val="7"/>
        </w:numPr>
        <w:spacing w:after="80"/>
      </w:pPr>
      <w:r>
        <w:rPr>
          <w:rFonts w:ascii="Arial" w:cs="Arial" w:eastAsia="Arial" w:hAnsi="Arial"/>
          <w:color w:val="57534E"/>
          <w:sz w:val="22"/>
          <w:szCs w:val="22"/>
        </w:rPr>
        <w:t xml:space="preserve">Package findings in a 10-page report with total missed HCC revenue (dollar amount), total cost optimization (dollar amount), and specific recommendations</w:t>
      </w:r>
    </w:p>
    <w:p>
      <w:pPr>
        <w:pStyle w:val="ListParagraph"/>
        <w:numPr>
          <w:ilvl w:val="0"/>
          <w:numId w:val="7"/>
        </w:numPr>
        <w:spacing w:after="80"/>
      </w:pPr>
      <w:r>
        <w:rPr>
          <w:rFonts w:ascii="Arial" w:cs="Arial" w:eastAsia="Arial" w:hAnsi="Arial"/>
          <w:color w:val="57534E"/>
          <w:sz w:val="22"/>
          <w:szCs w:val="22"/>
        </w:rPr>
        <w:t xml:space="preserve">Present to MSO leadership. The report itself is the sales pitch.</w:t>
      </w:r>
    </w:p>
    <w:p>
      <w:pPr>
        <w:spacing w:after="160"/>
      </w:pPr>
      <w:r>
        <w:rPr>
          <w:rFonts w:ascii="Arial" w:cs="Arial" w:eastAsia="Arial" w:hAnsi="Arial"/>
          <w:b/>
          <w:bCs/>
          <w:color w:val="1C1917"/>
          <w:sz w:val="22"/>
          <w:szCs w:val="22"/>
        </w:rPr>
        <w:t xml:space="preserve">Target conversion: </w:t>
      </w:r>
      <w:r>
        <w:rPr>
          <w:rFonts w:ascii="Arial" w:cs="Arial" w:eastAsia="Arial" w:hAnsi="Arial"/>
          <w:color w:val="57534E"/>
          <w:sz w:val="22"/>
          <w:szCs w:val="22"/>
        </w:rPr>
        <w:t xml:space="preserve">40–60% from analysis to pilot, 70–80% from pilot to full contract.</w:t>
      </w:r>
    </w:p>
    <w:p>
      <w:pPr>
        <w:pStyle w:val="Heading2"/>
        <w:spacing w:after="120" w:before="280"/>
      </w:pPr>
      <w:r>
        <w:rPr>
          <w:rFonts w:ascii="Arial" w:cs="Arial" w:eastAsia="Arial" w:hAnsi="Arial"/>
          <w:b/>
          <w:bCs/>
          <w:color w:val="1C1917"/>
          <w:sz w:val="28"/>
          <w:szCs w:val="28"/>
        </w:rPr>
        <w:t xml:space="preserve">The Physician-to-Physician Advantage</w:t>
      </w:r>
    </w:p>
    <w:p>
      <w:pPr>
        <w:spacing w:after="160"/>
      </w:pPr>
      <w:r>
        <w:rPr>
          <w:rFonts w:ascii="Arial" w:cs="Arial" w:eastAsia="Arial" w:hAnsi="Arial"/>
          <w:color w:val="57534E"/>
          <w:sz w:val="22"/>
          <w:szCs w:val="22"/>
        </w:rPr>
        <w:t xml:space="preserve">This is the single biggest differentiator in the sales process. We are not a software company selling to physicians. We are a practicing hospitalist who built the tool because we needed it. That story resonates with physician-led MSOs like Paxton in a way that no enterprise sales pitch can replicate. Lead with clinical credibility. Follow with technology.</w:t>
      </w:r>
    </w:p>
    <w:p>
      <w:pPr>
        <w:pStyle w:val="Heading2"/>
        <w:spacing w:after="120" w:before="280"/>
      </w:pPr>
      <w:r>
        <w:rPr>
          <w:rFonts w:ascii="Arial" w:cs="Arial" w:eastAsia="Arial" w:hAnsi="Arial"/>
          <w:b/>
          <w:bCs/>
          <w:color w:val="1C1917"/>
          <w:sz w:val="28"/>
          <w:szCs w:val="28"/>
        </w:rPr>
        <w:t xml:space="preserve">Key Objection Responses</w:t>
      </w:r>
    </w:p>
    <w:p>
      <w:pPr>
        <w:spacing w:after="160"/>
      </w:pPr>
      <w:r>
        <w:rPr>
          <w:rFonts w:ascii="Arial" w:cs="Arial" w:eastAsia="Arial" w:hAnsi="Arial"/>
          <w:b/>
          <w:bCs/>
          <w:color w:val="1C1917"/>
          <w:sz w:val="22"/>
          <w:szCs w:val="22"/>
        </w:rPr>
        <w:t xml:space="preserve">“We already have Vatica / Cotiviti.” </w:t>
      </w:r>
      <w:r>
        <w:rPr>
          <w:rFonts w:ascii="Arial" w:cs="Arial" w:eastAsia="Arial" w:hAnsi="Arial"/>
          <w:color w:val="57534E"/>
          <w:sz w:val="22"/>
          <w:szCs w:val="22"/>
        </w:rPr>
        <w:t xml:space="preserve">Those require embedded staff or mailed charts and work retrospectively. We capture HCCs prospectively during the encounter, without adding headcount.</w:t>
      </w:r>
    </w:p>
    <w:p>
      <w:pPr>
        <w:spacing w:after="160"/>
      </w:pPr>
      <w:r>
        <w:rPr>
          <w:rFonts w:ascii="Arial" w:cs="Arial" w:eastAsia="Arial" w:hAnsi="Arial"/>
          <w:b/>
          <w:bCs/>
          <w:color w:val="1C1917"/>
          <w:sz w:val="22"/>
          <w:szCs w:val="22"/>
        </w:rPr>
        <w:t xml:space="preserve">“We’re too small.” </w:t>
      </w:r>
      <w:r>
        <w:rPr>
          <w:rFonts w:ascii="Arial" w:cs="Arial" w:eastAsia="Arial" w:hAnsi="Arial"/>
          <w:color w:val="57534E"/>
          <w:sz w:val="22"/>
          <w:szCs w:val="22"/>
        </w:rPr>
        <w:t xml:space="preserve">That’s exactly why you need this. The platform replaces the analytics team, quality director, and care management staff you can’t afford to hire. It’s your MSO infrastructure in a subscription.</w:t>
      </w:r>
    </w:p>
    <w:p>
      <w:pPr>
        <w:spacing w:after="160"/>
      </w:pPr>
      <w:r>
        <w:rPr>
          <w:rFonts w:ascii="Arial" w:cs="Arial" w:eastAsia="Arial" w:hAnsi="Arial"/>
          <w:b/>
          <w:bCs/>
          <w:color w:val="1C1917"/>
          <w:sz w:val="22"/>
          <w:szCs w:val="22"/>
        </w:rPr>
        <w:t xml:space="preserve">“Can it work with our EMR?” </w:t>
      </w:r>
      <w:r>
        <w:rPr>
          <w:rFonts w:ascii="Arial" w:cs="Arial" w:eastAsia="Arial" w:hAnsi="Arial"/>
          <w:color w:val="57534E"/>
          <w:sz w:val="22"/>
          <w:szCs w:val="22"/>
        </w:rPr>
        <w:t xml:space="preserve">Yes. Overlay on Epic, Cerner, athena via FHIR. Chrome extension for PointClickCare. Or use it as a standalone EMR. Your providers don’t change their workflow.</w:t>
      </w:r>
    </w:p>
    <w:p>
      <w:pPr>
        <w:spacing w:after="160"/>
      </w:pPr>
      <w:r>
        <w:rPr>
          <w:rFonts w:ascii="Arial" w:cs="Arial" w:eastAsia="Arial" w:hAnsi="Arial"/>
          <w:b/>
          <w:bCs/>
          <w:color w:val="1C1917"/>
          <w:sz w:val="22"/>
          <w:szCs w:val="22"/>
        </w:rPr>
        <w:t xml:space="preserve">“How is this different from what our health plan sends us?” </w:t>
      </w:r>
      <w:r>
        <w:rPr>
          <w:rFonts w:ascii="Arial" w:cs="Arial" w:eastAsia="Arial" w:hAnsi="Arial"/>
          <w:color w:val="57534E"/>
          <w:sz w:val="22"/>
          <w:szCs w:val="22"/>
        </w:rPr>
        <w:t xml:space="preserve">Plans send quarterly suspect lists. We surface suspects in real-time during the encounter with clinical evidence. We also give you expenditure and quality analytics that plans have but won’t share at the provider level.</w:t>
      </w:r>
    </w:p>
    <w:p>
      <w:r>
        <w:br w:type="page"/>
      </w:r>
    </w:p>
    <w:p>
      <w:pPr>
        <w:pStyle w:val="Heading1"/>
        <w:spacing w:after="160" w:before="360"/>
      </w:pPr>
      <w:r>
        <w:rPr>
          <w:rFonts w:ascii="Arial" w:cs="Arial" w:eastAsia="Arial" w:hAnsi="Arial"/>
          <w:b/>
          <w:bCs/>
          <w:color w:val="1C1917"/>
          <w:sz w:val="36"/>
          <w:szCs w:val="36"/>
        </w:rPr>
        <w:t xml:space="preserve">8. Building the Competitive Moat</w:t>
      </w:r>
    </w:p>
    <w:p>
      <w:pPr>
        <w:pStyle w:val="Heading2"/>
        <w:spacing w:after="120" w:before="280"/>
      </w:pPr>
      <w:r>
        <w:rPr>
          <w:rFonts w:ascii="Arial" w:cs="Arial" w:eastAsia="Arial" w:hAnsi="Arial"/>
          <w:b/>
          <w:bCs/>
          <w:color w:val="1C1917"/>
          <w:sz w:val="28"/>
          <w:szCs w:val="28"/>
        </w:rPr>
        <w:t xml:space="preserve">Data Network Effects</w:t>
      </w:r>
    </w:p>
    <w:p>
      <w:pPr>
        <w:spacing w:after="160"/>
      </w:pPr>
      <w:r>
        <w:rPr>
          <w:rFonts w:ascii="Arial" w:cs="Arial" w:eastAsia="Arial" w:hAnsi="Arial"/>
          <w:color w:val="57534E"/>
          <w:sz w:val="22"/>
          <w:szCs w:val="22"/>
        </w:rPr>
        <w:t xml:space="preserve">Every encounter processed improves the AI models. Every MSO’s data strengthens coding accuracy, expenditure benchmarks, and quality algorithms. Client #5 benefits from everything learned from clients #1–4. This compounds into an advantage that new entrants cannot replicate without equivalent data volume.</w:t>
      </w:r>
    </w:p>
    <w:p>
      <w:pPr>
        <w:pStyle w:val="Heading2"/>
        <w:spacing w:after="120" w:before="280"/>
      </w:pPr>
      <w:r>
        <w:rPr>
          <w:rFonts w:ascii="Arial" w:cs="Arial" w:eastAsia="Arial" w:hAnsi="Arial"/>
          <w:b/>
          <w:bCs/>
          <w:color w:val="1C1917"/>
          <w:sz w:val="28"/>
          <w:szCs w:val="28"/>
        </w:rPr>
        <w:t xml:space="preserve">Clinical Credibility</w:t>
      </w:r>
    </w:p>
    <w:p>
      <w:pPr>
        <w:spacing w:after="160"/>
      </w:pPr>
      <w:r>
        <w:rPr>
          <w:rFonts w:ascii="Arial" w:cs="Arial" w:eastAsia="Arial" w:hAnsi="Arial"/>
          <w:color w:val="57534E"/>
          <w:sz w:val="22"/>
          <w:szCs w:val="22"/>
        </w:rPr>
        <w:t xml:space="preserve">Physician-founded, physician-tested, physician-validated. In a market where provider trust is the #1 adoption barrier (Navina cites 86% usage as a key metric), being built by a practicing hospitalist is an irreplaceable advantage.</w:t>
      </w:r>
    </w:p>
    <w:p>
      <w:pPr>
        <w:pStyle w:val="Heading2"/>
        <w:spacing w:after="120" w:before="280"/>
      </w:pPr>
      <w:r>
        <w:rPr>
          <w:rFonts w:ascii="Arial" w:cs="Arial" w:eastAsia="Arial" w:hAnsi="Arial"/>
          <w:b/>
          <w:bCs/>
          <w:color w:val="1C1917"/>
          <w:sz w:val="28"/>
          <w:szCs w:val="28"/>
        </w:rPr>
        <w:t xml:space="preserve">SNF/Post-Acute Specialization</w:t>
      </w:r>
    </w:p>
    <w:p>
      <w:pPr>
        <w:spacing w:after="160"/>
      </w:pPr>
      <w:r>
        <w:rPr>
          <w:rFonts w:ascii="Arial" w:cs="Arial" w:eastAsia="Arial" w:hAnsi="Arial"/>
          <w:color w:val="57534E"/>
          <w:sz w:val="22"/>
          <w:szCs w:val="22"/>
        </w:rPr>
        <w:t xml:space="preserve">No competitor has a post-acute pipeline. Navina focuses on primary care. Arcadia on health systems. Nobody ingests MDS assessments, scrapes PCC dashboards, compiles SNF admission notes, and runs HCC capture at the post-acute point of care. This is a wedge product in an underserved market segment.</w:t>
      </w:r>
    </w:p>
    <w:p>
      <w:pPr>
        <w:pStyle w:val="Heading2"/>
        <w:spacing w:after="120" w:before="280"/>
      </w:pPr>
      <w:r>
        <w:rPr>
          <w:rFonts w:ascii="Arial" w:cs="Arial" w:eastAsia="Arial" w:hAnsi="Arial"/>
          <w:b/>
          <w:bCs/>
          <w:color w:val="1C1917"/>
          <w:sz w:val="28"/>
          <w:szCs w:val="28"/>
        </w:rPr>
        <w:t xml:space="preserve">Open-Source Base + Proprietary Intelligence</w:t>
      </w:r>
    </w:p>
    <w:p>
      <w:pPr>
        <w:spacing w:after="160"/>
      </w:pPr>
      <w:r>
        <w:rPr>
          <w:rFonts w:ascii="Arial" w:cs="Arial" w:eastAsia="Arial" w:hAnsi="Arial"/>
          <w:color w:val="57534E"/>
          <w:sz w:val="22"/>
          <w:szCs w:val="22"/>
        </w:rPr>
        <w:t xml:space="preserve">OpenEMR’s GPL license means no vendor lock-in, transparent code, and community trust. The proprietary intelligence layer (AutoCoder, SNF Admit Assist, redact.health) sits on top and creates the defensible value. Clients get the transparency of open-source with the sophistication of a purpose-built AI platform.</w:t>
      </w:r>
    </w:p>
    <w:p>
      <w:pPr>
        <w:pStyle w:val="Heading2"/>
        <w:spacing w:after="120" w:before="280"/>
      </w:pPr>
      <w:r>
        <w:rPr>
          <w:rFonts w:ascii="Arial" w:cs="Arial" w:eastAsia="Arial" w:hAnsi="Arial"/>
          <w:b/>
          <w:bCs/>
          <w:color w:val="1C1917"/>
          <w:sz w:val="28"/>
          <w:szCs w:val="28"/>
        </w:rPr>
        <w:t xml:space="preserve">Platform Gravity</w:t>
      </w:r>
    </w:p>
    <w:p>
      <w:pPr>
        <w:spacing w:after="160"/>
      </w:pPr>
      <w:r>
        <w:rPr>
          <w:rFonts w:ascii="Arial" w:cs="Arial" w:eastAsia="Arial" w:hAnsi="Arial"/>
          <w:color w:val="57534E"/>
          <w:sz w:val="22"/>
          <w:szCs w:val="22"/>
        </w:rPr>
        <w:t xml:space="preserve">Once an MSO’s data flows through the platform, their care managers work in it daily, and their providers use it for encounters, switching becomes extremely difficult. The platform is not a nice-to-have analytics tool — it’s the operational backbone their team can’t work without.</w:t>
      </w:r>
    </w:p>
    <w:p>
      <w:r>
        <w:br w:type="page"/>
      </w:r>
    </w:p>
    <w:p>
      <w:pPr>
        <w:pStyle w:val="Heading1"/>
        <w:spacing w:after="160" w:before="360"/>
      </w:pPr>
      <w:r>
        <w:rPr>
          <w:rFonts w:ascii="Arial" w:cs="Arial" w:eastAsia="Arial" w:hAnsi="Arial"/>
          <w:b/>
          <w:bCs/>
          <w:color w:val="1C1917"/>
          <w:sz w:val="36"/>
          <w:szCs w:val="36"/>
        </w:rPr>
        <w:t xml:space="preserve">9. Key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Milestone</w:t>
            </w:r>
          </w:p>
        </w:tc>
        <w:tc>
          <w:tcPr>
            <w:tcW w:type="dxa" w:w="18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Target</w:t>
            </w:r>
          </w:p>
        </w:tc>
        <w:tc>
          <w:tcPr>
            <w:tcW w:type="dxa" w:w="436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Success Metric</w:t>
            </w:r>
          </w:p>
        </w:tc>
      </w:tr>
      <w:tr>
        <w:tc>
          <w:tcPr>
            <w:tcW w:type="dxa" w:w="3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Internal pilot deployed</w:t>
            </w:r>
          </w:p>
        </w:tc>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Month 1</w:t>
            </w:r>
          </w:p>
        </w:tc>
        <w:tc>
          <w:tcPr>
            <w:tcW w:type="dxa" w:w="4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SNF Admit Assist live on own encounters</w:t>
            </w:r>
          </w:p>
        </w:tc>
      </w:tr>
      <w:tr>
        <w:tc>
          <w:tcPr>
            <w:tcW w:type="dxa" w:w="3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PCC Extension v2 live</w:t>
            </w:r>
          </w:p>
        </w:tc>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Month 2</w:t>
            </w:r>
          </w:p>
        </w:tc>
        <w:tc>
          <w:tcPr>
            <w:tcW w:type="dxa" w:w="4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Dashboard scraping working on real PCC</w:t>
            </w:r>
          </w:p>
        </w:tc>
      </w:tr>
      <w:tr>
        <w:tc>
          <w:tcPr>
            <w:tcW w:type="dxa" w:w="3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Internal case study complete</w:t>
            </w:r>
          </w:p>
        </w:tc>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Month 6</w:t>
            </w:r>
          </w:p>
        </w:tc>
        <w:tc>
          <w:tcPr>
            <w:tcW w:type="dxa" w:w="4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15%+ HCC capture improvement documented</w:t>
            </w:r>
          </w:p>
        </w:tc>
      </w:tr>
      <w:tr>
        <w:tc>
          <w:tcPr>
            <w:tcW w:type="dxa" w:w="3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Paxton pilot launched</w:t>
            </w:r>
          </w:p>
        </w:tc>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Month 7–9</w:t>
            </w:r>
          </w:p>
        </w:tc>
        <w:tc>
          <w:tcPr>
            <w:tcW w:type="dxa" w:w="4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Signed pilot agreement</w:t>
            </w:r>
          </w:p>
        </w:tc>
      </w:tr>
      <w:tr>
        <w:tc>
          <w:tcPr>
            <w:tcW w:type="dxa" w:w="3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Paxton full contract</w:t>
            </w:r>
          </w:p>
        </w:tc>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Month 10–12</w:t>
            </w:r>
          </w:p>
        </w:tc>
        <w:tc>
          <w:tcPr>
            <w:tcW w:type="dxa" w:w="4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$450K+ ACV</w:t>
            </w:r>
          </w:p>
        </w:tc>
      </w:tr>
      <w:tr>
        <w:tc>
          <w:tcPr>
            <w:tcW w:type="dxa" w:w="3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3 paying clients</w:t>
            </w:r>
          </w:p>
        </w:tc>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Month 14–16</w:t>
            </w:r>
          </w:p>
        </w:tc>
        <w:tc>
          <w:tcPr>
            <w:tcW w:type="dxa" w:w="4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$500K+ run-rate ARR</w:t>
            </w:r>
          </w:p>
        </w:tc>
      </w:tr>
      <w:tr>
        <w:tc>
          <w:tcPr>
            <w:tcW w:type="dxa" w:w="3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Enterprise pilot initiated</w:t>
            </w:r>
          </w:p>
        </w:tc>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Month 18–20</w:t>
            </w:r>
          </w:p>
        </w:tc>
        <w:tc>
          <w:tcPr>
            <w:tcW w:type="dxa" w:w="4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Access Healthcare or BetterHealth engaged</w:t>
            </w:r>
          </w:p>
        </w:tc>
      </w:tr>
      <w:tr>
        <w:tc>
          <w:tcPr>
            <w:tcW w:type="dxa" w:w="3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Breakeven</w:t>
            </w:r>
          </w:p>
        </w:tc>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Month 18–22</w:t>
            </w:r>
          </w:p>
        </w:tc>
        <w:tc>
          <w:tcPr>
            <w:tcW w:type="dxa" w:w="4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Monthly revenue &gt; monthly burn</w:t>
            </w:r>
          </w:p>
        </w:tc>
      </w:tr>
      <w:tr>
        <w:tc>
          <w:tcPr>
            <w:tcW w:type="dxa" w:w="3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$2M+ ARR</w:t>
            </w:r>
          </w:p>
        </w:tc>
        <w:tc>
          <w:tcPr>
            <w:tcW w:type="dxa" w:w="18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Month 22–24</w:t>
            </w:r>
          </w:p>
        </w:tc>
        <w:tc>
          <w:tcPr>
            <w:tcW w:type="dxa" w:w="4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5+ clients, 50K+ lives</w:t>
            </w:r>
          </w:p>
        </w:tc>
      </w:tr>
    </w:tbl>
    <w:p>
      <w:r>
        <w:br w:type="page"/>
      </w:r>
    </w:p>
    <w:p>
      <w:pPr>
        <w:pStyle w:val="Heading1"/>
        <w:spacing w:after="160" w:before="360"/>
      </w:pPr>
      <w:r>
        <w:rPr>
          <w:rFonts w:ascii="Arial" w:cs="Arial" w:eastAsia="Arial" w:hAnsi="Arial"/>
          <w:b/>
          <w:bCs/>
          <w:color w:val="1C1917"/>
          <w:sz w:val="36"/>
          <w:szCs w:val="36"/>
        </w:rPr>
        <w:t xml:space="preserve">10. Risks &amp; Contingencies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5360"/>
      </w:tblGrid>
      <w:tr>
        <w:tc>
          <w:tcPr>
            <w:tcW w:type="dxa" w:w="22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Risk</w:t>
            </w:r>
          </w:p>
        </w:tc>
        <w:tc>
          <w:tcPr>
            <w:tcW w:type="dxa" w:w="9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Likelihood</w:t>
            </w:r>
          </w:p>
        </w:tc>
        <w:tc>
          <w:tcPr>
            <w:tcW w:type="dxa" w:w="9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Impact</w:t>
            </w:r>
          </w:p>
        </w:tc>
        <w:tc>
          <w:tcPr>
            <w:tcW w:type="dxa" w:w="536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Contingency</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Enterprise sales cycle &gt;12 months</w:t>
            </w:r>
          </w:p>
        </w:tc>
        <w:tc>
          <w:tcPr>
            <w:tcW w:type="dxa" w:w="9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High</w:t>
            </w:r>
          </w:p>
        </w:tc>
        <w:tc>
          <w:tcPr>
            <w:tcW w:type="dxa" w:w="9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Medium</w:t>
            </w:r>
          </w:p>
        </w:tc>
        <w:tc>
          <w:tcPr>
            <w:tcW w:type="dxa" w:w="5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Small/mid MSOs sustain revenue while enterprise develops</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Client data quality problems</w:t>
            </w:r>
          </w:p>
        </w:tc>
        <w:tc>
          <w:tcPr>
            <w:tcW w:type="dxa" w:w="9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High</w:t>
            </w:r>
          </w:p>
        </w:tc>
        <w:tc>
          <w:tcPr>
            <w:tcW w:type="dxa" w:w="9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Medium</w:t>
            </w:r>
          </w:p>
        </w:tc>
        <w:tc>
          <w:tcPr>
            <w:tcW w:type="dxa" w:w="5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AI column mapping + validation. Budget time for first imports.</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Provider adoption resistance</w:t>
            </w:r>
          </w:p>
        </w:tc>
        <w:tc>
          <w:tcPr>
            <w:tcW w:type="dxa" w:w="9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Medium</w:t>
            </w:r>
          </w:p>
        </w:tc>
        <w:tc>
          <w:tcPr>
            <w:tcW w:type="dxa" w:w="9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High</w:t>
            </w:r>
          </w:p>
        </w:tc>
        <w:tc>
          <w:tcPr>
            <w:tcW w:type="dxa" w:w="5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Overlay mode = zero workflow change. Start with docs value.</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Competitor replication</w:t>
            </w:r>
          </w:p>
        </w:tc>
        <w:tc>
          <w:tcPr>
            <w:tcW w:type="dxa" w:w="9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Medium</w:t>
            </w:r>
          </w:p>
        </w:tc>
        <w:tc>
          <w:tcPr>
            <w:tcW w:type="dxa" w:w="9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Medium</w:t>
            </w:r>
          </w:p>
        </w:tc>
        <w:tc>
          <w:tcPr>
            <w:tcW w:type="dxa" w:w="5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12-month head start + data network effects + SNF specialization</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CMS regulatory changes (V28, Stars)</w:t>
            </w:r>
          </w:p>
        </w:tc>
        <w:tc>
          <w:tcPr>
            <w:tcW w:type="dxa" w:w="9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Medium</w:t>
            </w:r>
          </w:p>
        </w:tc>
        <w:tc>
          <w:tcPr>
            <w:tcW w:type="dxa" w:w="9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Medium</w:t>
            </w:r>
          </w:p>
        </w:tc>
        <w:tc>
          <w:tcPr>
            <w:tcW w:type="dxa" w:w="5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Modular architecture. RAF engine updated independently.</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Funding gap before breakeven</w:t>
            </w:r>
          </w:p>
        </w:tc>
        <w:tc>
          <w:tcPr>
            <w:tcW w:type="dxa" w:w="9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Medium</w:t>
            </w:r>
          </w:p>
        </w:tc>
        <w:tc>
          <w:tcPr>
            <w:tcW w:type="dxa" w:w="9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High</w:t>
            </w:r>
          </w:p>
        </w:tc>
        <w:tc>
          <w:tcPr>
            <w:tcW w:type="dxa" w:w="5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Lean burn. Small MSO revenue bridges gap. Evaluate raise at Mo 12.</w:t>
            </w:r>
          </w:p>
        </w:tc>
      </w:tr>
      <w:tr>
        <w:tc>
          <w:tcPr>
            <w:tcW w:type="dxa" w:w="22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Paxton engagement stalls</w:t>
            </w:r>
          </w:p>
        </w:tc>
        <w:tc>
          <w:tcPr>
            <w:tcW w:type="dxa" w:w="9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Low</w:t>
            </w:r>
          </w:p>
        </w:tc>
        <w:tc>
          <w:tcPr>
            <w:tcW w:type="dxa" w:w="9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High</w:t>
            </w:r>
          </w:p>
        </w:tc>
        <w:tc>
          <w:tcPr>
            <w:tcW w:type="dxa" w:w="53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Pipeline has 4 other prospects. Pursue small MSOs in parallel.</w:t>
            </w:r>
          </w:p>
        </w:tc>
      </w:tr>
    </w:tbl>
    <w:p>
      <w:r>
        <w:br w:type="page"/>
      </w:r>
    </w:p>
    <w:p>
      <w:pPr>
        <w:pStyle w:val="Heading1"/>
        <w:spacing w:after="160" w:before="360"/>
      </w:pPr>
      <w:r>
        <w:rPr>
          <w:rFonts w:ascii="Arial" w:cs="Arial" w:eastAsia="Arial" w:hAnsi="Arial"/>
          <w:b/>
          <w:bCs/>
          <w:color w:val="1C1917"/>
          <w:sz w:val="36"/>
          <w:szCs w:val="36"/>
        </w:rPr>
        <w:t xml:space="preserve">11. The Unified Product Vision</w:t>
      </w:r>
    </w:p>
    <w:p>
      <w:pPr>
        <w:spacing w:after="160"/>
      </w:pPr>
      <w:r>
        <w:rPr>
          <w:rFonts w:ascii="Arial" w:cs="Arial" w:eastAsia="Arial" w:hAnsi="Arial"/>
          <w:color w:val="57534E"/>
          <w:sz w:val="22"/>
          <w:szCs w:val="22"/>
        </w:rPr>
        <w:t xml:space="preserve">This business plan describes one platform that brings together every product AQSoft.AI has built or is building into a single, cohesive managed care intelligence system:</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Existing Product</w:t>
            </w:r>
          </w:p>
        </w:tc>
        <w:tc>
          <w:tcPr>
            <w:tcW w:type="dxa" w:w="456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Role in Platform</w:t>
            </w:r>
          </w:p>
        </w:tc>
        <w:tc>
          <w:tcPr>
            <w:tcW w:type="dxa" w:w="2400"/>
            <w:tcBorders>
              <w:top w:val="single" w:color="E7E5E4" w:sz="1"/>
              <w:left w:val="single" w:color="E7E5E4" w:sz="1"/>
              <w:bottom w:val="single" w:color="E7E5E4" w:sz="1"/>
              <w:right w:val="single" w:color="E7E5E4" w:sz="1"/>
            </w:tcBorders>
            <w:shd w:fill="F5F5F4" w:val="clear"/>
            <w:tcMar>
              <w:top w:type="dxa" w:w="80"/>
              <w:left w:type="dxa" w:w="120"/>
              <w:bottom w:type="dxa" w:w="80"/>
              <w:right w:type="dxa" w:w="120"/>
            </w:tcMar>
          </w:tcPr>
          <w:p>
            <w:r>
              <w:rPr>
                <w:rFonts w:ascii="Arial" w:cs="Arial" w:eastAsia="Arial" w:hAnsi="Arial"/>
                <w:b/>
                <w:bCs/>
                <w:color w:val="1C1917"/>
                <w:sz w:val="20"/>
                <w:szCs w:val="20"/>
              </w:rPr>
              <w:t xml:space="preserve">Integration Status</w:t>
            </w:r>
          </w:p>
        </w:tc>
      </w:tr>
      <w:tr>
        <w:tc>
          <w:tcPr>
            <w:tcW w:type="dxa" w:w="2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AutoCoder / HCC Engine</w:t>
            </w:r>
          </w:p>
        </w:tc>
        <w:tc>
          <w:tcPr>
            <w:tcW w:type="dxa" w:w="45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Core coding intelligence — prospective HCC capture at point of care</w:t>
            </w:r>
          </w:p>
        </w:tc>
        <w:tc>
          <w:tcPr>
            <w:tcW w:type="dxa" w:w="2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Active development</w:t>
            </w:r>
          </w:p>
        </w:tc>
      </w:tr>
      <w:tr>
        <w:tc>
          <w:tcPr>
            <w:tcW w:type="dxa" w:w="2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SNF Admit Assist</w:t>
            </w:r>
          </w:p>
        </w:tc>
        <w:tc>
          <w:tcPr>
            <w:tcW w:type="dxa" w:w="45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Clinical documentation — note compilation, PDF extraction, screening scores</w:t>
            </w:r>
          </w:p>
        </w:tc>
        <w:tc>
          <w:tcPr>
            <w:tcW w:type="dxa" w:w="2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Production (66 commits)</w:t>
            </w:r>
          </w:p>
        </w:tc>
      </w:tr>
      <w:tr>
        <w:tc>
          <w:tcPr>
            <w:tcW w:type="dxa" w:w="2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redact.health</w:t>
            </w:r>
          </w:p>
        </w:tc>
        <w:tc>
          <w:tcPr>
            <w:tcW w:type="dxa" w:w="45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PHI security — de-identification for data sharing, analytics, and compliance</w:t>
            </w:r>
          </w:p>
        </w:tc>
        <w:tc>
          <w:tcPr>
            <w:tcW w:type="dxa" w:w="2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Existing product</w:t>
            </w:r>
          </w:p>
        </w:tc>
      </w:tr>
      <w:tr>
        <w:tc>
          <w:tcPr>
            <w:tcW w:type="dxa" w:w="2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PCC Chrome Extension</w:t>
            </w:r>
          </w:p>
        </w:tc>
        <w:tc>
          <w:tcPr>
            <w:tcW w:type="dxa" w:w="45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EHR overlay — dashboard scraping, smart highlighting, chart prep</w:t>
            </w:r>
          </w:p>
        </w:tc>
        <w:tc>
          <w:tcPr>
            <w:tcW w:type="dxa" w:w="2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Partially built</w:t>
            </w:r>
          </w:p>
        </w:tc>
      </w:tr>
      <w:tr>
        <w:tc>
          <w:tcPr>
            <w:tcW w:type="dxa" w:w="2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AIClaim (partner)</w:t>
            </w:r>
          </w:p>
        </w:tc>
        <w:tc>
          <w:tcPr>
            <w:tcW w:type="dxa" w:w="45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Billing — denial prevention, claim scrubbing, X12 837 analysis</w:t>
            </w:r>
          </w:p>
        </w:tc>
        <w:tc>
          <w:tcPr>
            <w:tcW w:type="dxa" w:w="2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API available</w:t>
            </w:r>
          </w:p>
        </w:tc>
      </w:tr>
      <w:tr>
        <w:tc>
          <w:tcPr>
            <w:tcW w:type="dxa" w:w="2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OpenEMR fork</w:t>
            </w:r>
          </w:p>
        </w:tc>
        <w:tc>
          <w:tcPr>
            <w:tcW w:type="dxa" w:w="456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EHR chassis — scheduling, FHIR, billing infrastructure, patient data</w:t>
            </w:r>
          </w:p>
        </w:tc>
        <w:tc>
          <w:tcPr>
            <w:tcW w:type="dxa" w:w="2400"/>
            <w:tcBorders>
              <w:top w:val="single" w:color="E7E5E4" w:sz="1"/>
              <w:left w:val="single" w:color="E7E5E4" w:sz="1"/>
              <w:bottom w:val="single" w:color="E7E5E4" w:sz="1"/>
              <w:right w:val="single" w:color="E7E5E4" w:sz="1"/>
            </w:tcBorders>
            <w:tcMar>
              <w:top w:type="dxa" w:w="80"/>
              <w:left w:type="dxa" w:w="120"/>
              <w:bottom w:type="dxa" w:w="80"/>
              <w:right w:type="dxa" w:w="120"/>
            </w:tcMar>
          </w:tcPr>
          <w:p>
            <w:r>
              <w:rPr>
                <w:rFonts w:ascii="Arial" w:cs="Arial" w:eastAsia="Arial" w:hAnsi="Arial"/>
                <w:color w:val="57534E"/>
                <w:sz w:val="20"/>
                <w:szCs w:val="20"/>
              </w:rPr>
              <w:t xml:space="preserve">Design phase</w:t>
            </w:r>
          </w:p>
        </w:tc>
      </w:tr>
    </w:tbl>
    <w:p>
      <w:pPr>
        <w:spacing w:after="200"/>
      </w:pPr>
    </w:p>
    <w:p>
      <w:pPr>
        <w:spacing w:after="160"/>
      </w:pPr>
      <w:r>
        <w:rPr>
          <w:rFonts w:ascii="Arial" w:cs="Arial" w:eastAsia="Arial" w:hAnsi="Arial"/>
          <w:color w:val="57534E"/>
          <w:sz w:val="22"/>
          <w:szCs w:val="22"/>
        </w:rPr>
        <w:t xml:space="preserve">Each product continues to have standalone value, but the combined platform creates something none of them can be individually: a complete managed care operating system that a physician group can deploy to enter value-based care, or an existing MSO can adopt to dramatically improve their operations.</w:t>
      </w:r>
    </w:p>
    <w:p>
      <w:pPr>
        <w:spacing w:after="160"/>
      </w:pPr>
      <w:r>
        <w:rPr>
          <w:rFonts w:ascii="Arial" w:cs="Arial" w:eastAsia="Arial" w:hAnsi="Arial"/>
          <w:color w:val="57534E"/>
          <w:sz w:val="22"/>
          <w:szCs w:val="22"/>
        </w:rPr>
        <w:t xml:space="preserve">The path forward is to unify these products under a single platform experience, with the clean and modern design language established in this sprint. The technical architecture (React SPA frontend, OpenEMR PHP + FastAPI Python dual backend, shared MySQL database) supports this unification while allowing each component to be developed and deployed independently.</w:t>
      </w:r>
    </w:p>
    <w:p>
      <w:pPr>
        <w:spacing w:after="160"/>
      </w:pPr>
      <w:r>
        <w:rPr>
          <w:rFonts w:ascii="Arial" w:cs="Arial" w:eastAsia="Arial" w:hAnsi="Arial"/>
          <w:b/>
          <w:bCs/>
          <w:color w:val="1C1917"/>
          <w:sz w:val="22"/>
          <w:szCs w:val="22"/>
        </w:rPr>
        <w:t xml:space="preserve">The end state: </w:t>
      </w:r>
      <w:r>
        <w:rPr>
          <w:rFonts w:ascii="Arial" w:cs="Arial" w:eastAsia="Arial" w:hAnsi="Arial"/>
          <w:color w:val="57534E"/>
          <w:sz w:val="22"/>
          <w:szCs w:val="22"/>
        </w:rPr>
        <w:t xml:space="preserve">a physician group signs a Medicare Advantage contract, deploys the AQSoft Health Platform, and has every operational capability they need to succeed in managed care — from the first patient encounter to the population-level analytics that demonstrate their value to the health plan. That’s the product. That’s the business.</w:t>
      </w:r>
    </w:p>
    <w:p>
      <w:pPr>
        <w:spacing w:after="200"/>
      </w:pPr>
    </w:p>
    <w:p>
      <w:pPr>
        <w:spacing w:after="200"/>
      </w:pPr>
    </w:p>
    <w:p>
      <w:pPr>
        <w:spacing w:before="400"/>
        <w:jc w:val="center"/>
      </w:pPr>
      <w:r>
        <w:rPr>
          <w:rFonts w:ascii="Arial" w:cs="Arial" w:eastAsia="Arial" w:hAnsi="Arial"/>
          <w:i/>
          <w:iCs/>
          <w:color w:val="A8A29E"/>
          <w:sz w:val="20"/>
          <w:szCs w:val="20"/>
        </w:rPr>
        <w:t xml:space="preserve">— End of Business Plan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C1917"/>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C1917"/>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C191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2026-03-24T13:00:17.797Z</dcterms:created>
  <dcterms:modified xsi:type="dcterms:W3CDTF">2026-03-24T13:00:17.798Z</dcterms:modified>
</cp:coreProperties>
</file>

<file path=docProps/custom.xml><?xml version="1.0" encoding="utf-8"?>
<Properties xmlns="http://schemas.openxmlformats.org/officeDocument/2006/custom-properties" xmlns:vt="http://schemas.openxmlformats.org/officeDocument/2006/docPropsVTypes"/>
</file>