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80"/>
        <w:jc w:val="center"/>
      </w:pPr>
      <w:r>
        <w:rPr>
          <w:rFonts w:ascii="Arial" w:cs="Arial" w:eastAsia="Arial" w:hAnsi="Arial"/>
          <w:b/>
          <w:bCs/>
          <w:color w:val="1C1917"/>
          <w:sz w:val="56"/>
          <w:szCs w:val="56"/>
        </w:rPr>
        <w:t xml:space="preserve">AQSoft Health Platform</w:t>
      </w:r>
    </w:p>
    <w:p>
      <w:pPr>
        <w:spacing w:after="200"/>
        <w:jc w:val="center"/>
      </w:pPr>
      <w:r>
        <w:rPr>
          <w:rFonts w:ascii="Arial" w:cs="Arial" w:eastAsia="Arial" w:hAnsi="Arial"/>
          <w:color w:val="16A34A"/>
          <w:sz w:val="28"/>
          <w:szCs w:val="28"/>
        </w:rPr>
        <w:t xml:space="preserve">Go-to-Market Business Plan</w:t>
      </w:r>
    </w:p>
    <w:p>
      <w:pPr>
        <w:spacing w:after="80"/>
        <w:jc w:val="center"/>
      </w:pPr>
      <w:r>
        <w:rPr>
          <w:rFonts w:ascii="Arial" w:cs="Arial" w:eastAsia="Arial" w:hAnsi="Arial"/>
          <w:color w:val="57534E"/>
          <w:sz w:val="24"/>
          <w:szCs w:val="24"/>
        </w:rPr>
        <w:t xml:space="preserve">MSO Market Execution Strategy &amp; Financial Model</w:t>
      </w:r>
    </w:p>
    <w:p>
      <w:pPr>
        <w:spacing w:after="200"/>
      </w:pPr>
    </w:p>
    <w:p>
      <w:pPr>
        <w:jc w:val="center"/>
      </w:pPr>
      <w:r>
        <w:rPr>
          <w:rFonts w:ascii="Arial" w:cs="Arial" w:eastAsia="Arial" w:hAnsi="Arial"/>
          <w:color w:val="A8A29E"/>
          <w:sz w:val="20"/>
          <w:szCs w:val="20"/>
        </w:rPr>
        <w:t xml:space="preserve">March 2026 — Confidential</w:t>
      </w:r>
    </w:p>
    <w:p>
      <w:pPr>
        <w:jc w:val="center"/>
      </w:pPr>
      <w:r>
        <w:rPr>
          <w:rFonts w:ascii="Arial" w:cs="Arial" w:eastAsia="Arial" w:hAnsi="Arial"/>
          <w:color w:val="A8A29E"/>
          <w:sz w:val="20"/>
          <w:szCs w:val="20"/>
        </w:rPr>
        <w:t xml:space="preserve">AQSoft.AI × Spergel Health AI</w:t>
      </w:r>
    </w:p>
    <w:p>
      <w:r>
        <w:br w:type="page"/>
      </w:r>
    </w:p>
    <w:p>
      <w:pPr>
        <w:pStyle w:val="Heading1"/>
        <w:spacing w:after="160" w:before="360"/>
      </w:pPr>
      <w:r>
        <w:rPr>
          <w:rFonts w:ascii="Arial" w:cs="Arial" w:eastAsia="Arial" w:hAnsi="Arial"/>
          <w:b/>
          <w:bCs/>
          <w:color w:val="1C1917"/>
          <w:sz w:val="36"/>
          <w:szCs w:val="36"/>
        </w:rPr>
        <w:t xml:space="preserve">1. The Opportunity</w:t>
      </w:r>
    </w:p>
    <w:p>
      <w:pPr>
        <w:spacing w:after="160"/>
      </w:pPr>
      <w:r>
        <w:rPr>
          <w:rFonts w:ascii="Arial" w:cs="Arial" w:eastAsia="Arial" w:hAnsi="Arial"/>
          <w:color w:val="57534E"/>
          <w:sz w:val="22"/>
          <w:szCs w:val="22"/>
        </w:rPr>
        <w:t xml:space="preserve">The managed care intelligence market is fragmented across dozens of point solutions. MSOs today cobble together 5–10 separate tools for risk adjustment, quality tracking, care management, data analytics, billing, and provider engagement. Each requires separate implementation, separate data feeds, and separate contracts. The result: high costs, data silos, and operational inefficiency.</w:t>
      </w:r>
    </w:p>
    <w:p>
      <w:pPr>
        <w:spacing w:after="160"/>
      </w:pPr>
      <w:r>
        <w:rPr>
          <w:rFonts w:ascii="Arial" w:cs="Arial" w:eastAsia="Arial" w:hAnsi="Arial"/>
          <w:color w:val="57534E"/>
          <w:sz w:val="22"/>
          <w:szCs w:val="22"/>
        </w:rPr>
        <w:t xml:space="preserve">We are building a single platform that replaces this entire stack. By combining an open-source EHR chassis (OpenEMR) with AI-driven risk adjustment (AutoCoder), clinical documentation (SNF Admit Assist), denial prevention (AIClaim), quality measurement, expenditure analytics, and care management operations, we create the only managed care platform that covers the full workflow from patient scheduling through population analytics.</w:t>
      </w:r>
    </w:p>
    <w:p>
      <w:pPr>
        <w:pStyle w:val="Heading2"/>
        <w:spacing w:after="120" w:before="280"/>
      </w:pPr>
      <w:r>
        <w:rPr>
          <w:rFonts w:ascii="Arial" w:cs="Arial" w:eastAsia="Arial" w:hAnsi="Arial"/>
          <w:b/>
          <w:bCs/>
          <w:color w:val="1C1917"/>
          <w:sz w:val="28"/>
          <w:szCs w:val="28"/>
        </w:rPr>
        <w:t xml:space="preserve">Why Now</w:t>
      </w:r>
    </w:p>
    <w:p>
      <w:pPr>
        <w:pStyle w:val="ListParagraph"/>
        <w:numPr>
          <w:ilvl w:val="0"/>
          <w:numId w:val="2"/>
        </w:numPr>
        <w:spacing w:after="80"/>
      </w:pPr>
      <w:r>
        <w:rPr>
          <w:rFonts w:ascii="Arial" w:cs="Arial" w:eastAsia="Arial" w:hAnsi="Arial"/>
          <w:color w:val="57534E"/>
          <w:sz w:val="22"/>
          <w:szCs w:val="22"/>
        </w:rPr>
        <w:t xml:space="preserve">CMS-HCC V28 transition is forcing every MSO to rethink their risk adjustment workflows</w:t>
      </w:r>
    </w:p>
    <w:p>
      <w:pPr>
        <w:pStyle w:val="ListParagraph"/>
        <w:numPr>
          <w:ilvl w:val="0"/>
          <w:numId w:val="2"/>
        </w:numPr>
        <w:spacing w:after="80"/>
      </w:pPr>
      <w:r>
        <w:rPr>
          <w:rFonts w:ascii="Arial" w:cs="Arial" w:eastAsia="Arial" w:hAnsi="Arial"/>
          <w:color w:val="57534E"/>
          <w:sz w:val="22"/>
          <w:szCs w:val="22"/>
        </w:rPr>
        <w:t xml:space="preserve">Star Ratings methodology changes (EHO4all in 2027) require new quality infrastructure</w:t>
      </w:r>
    </w:p>
    <w:p>
      <w:pPr>
        <w:pStyle w:val="ListParagraph"/>
        <w:numPr>
          <w:ilvl w:val="0"/>
          <w:numId w:val="2"/>
        </w:numPr>
        <w:spacing w:after="80"/>
      </w:pPr>
      <w:r>
        <w:rPr>
          <w:rFonts w:ascii="Arial" w:cs="Arial" w:eastAsia="Arial" w:hAnsi="Arial"/>
          <w:color w:val="57534E"/>
          <w:sz w:val="22"/>
          <w:szCs w:val="22"/>
        </w:rPr>
        <w:t xml:space="preserve">FHIR interoperability mandates (CMS-0057-F) are opening previously locked EMR data</w:t>
      </w:r>
    </w:p>
    <w:p>
      <w:pPr>
        <w:pStyle w:val="ListParagraph"/>
        <w:numPr>
          <w:ilvl w:val="0"/>
          <w:numId w:val="2"/>
        </w:numPr>
        <w:spacing w:after="80"/>
      </w:pPr>
      <w:r>
        <w:rPr>
          <w:rFonts w:ascii="Arial" w:cs="Arial" w:eastAsia="Arial" w:hAnsi="Arial"/>
          <w:color w:val="57534E"/>
          <w:sz w:val="22"/>
          <w:szCs w:val="22"/>
        </w:rPr>
        <w:t xml:space="preserve">AI costs have dropped 95% in 2 years — capabilities that required $500K/yr in compute now cost $5K/yr</w:t>
      </w:r>
    </w:p>
    <w:p>
      <w:pPr>
        <w:pStyle w:val="ListParagraph"/>
        <w:numPr>
          <w:ilvl w:val="0"/>
          <w:numId w:val="2"/>
        </w:numPr>
        <w:spacing w:after="80"/>
      </w:pPr>
      <w:r>
        <w:rPr>
          <w:rFonts w:ascii="Arial" w:cs="Arial" w:eastAsia="Arial" w:hAnsi="Arial"/>
          <w:color w:val="57534E"/>
          <w:sz w:val="22"/>
          <w:szCs w:val="22"/>
        </w:rPr>
        <w:t xml:space="preserve">Post-COVID workforce shortage means MSOs can’t hire enough coders, care managers, and analysts</w:t>
      </w:r>
    </w:p>
    <w:p>
      <w:pPr>
        <w:pStyle w:val="ListParagraph"/>
        <w:numPr>
          <w:ilvl w:val="0"/>
          <w:numId w:val="2"/>
        </w:numPr>
        <w:spacing w:after="80"/>
      </w:pPr>
      <w:r>
        <w:rPr>
          <w:rFonts w:ascii="Arial" w:cs="Arial" w:eastAsia="Arial" w:hAnsi="Arial"/>
          <w:color w:val="57534E"/>
          <w:sz w:val="22"/>
          <w:szCs w:val="22"/>
        </w:rPr>
        <w:t xml:space="preserve">agilon health’s stock collapse (-51.5%) signals the market needs better cost management tools</w:t>
      </w:r>
    </w:p>
    <w:p>
      <w:pPr>
        <w:pStyle w:val="Heading2"/>
        <w:spacing w:after="120" w:before="280"/>
      </w:pPr>
      <w:r>
        <w:rPr>
          <w:rFonts w:ascii="Arial" w:cs="Arial" w:eastAsia="Arial" w:hAnsi="Arial"/>
          <w:b/>
          <w:bCs/>
          <w:color w:val="1C1917"/>
          <w:sz w:val="28"/>
          <w:szCs w:val="28"/>
        </w:rPr>
        <w:t xml:space="preserve">Total Addressable Market</w:t>
      </w:r>
    </w:p>
    <w:p>
      <w:pPr>
        <w:spacing w:after="160"/>
      </w:pPr>
      <w:r>
        <w:rPr>
          <w:rFonts w:ascii="Arial" w:cs="Arial" w:eastAsia="Arial" w:hAnsi="Arial"/>
          <w:color w:val="57534E"/>
          <w:sz w:val="22"/>
          <w:szCs w:val="22"/>
        </w:rPr>
        <w:t xml:space="preserve">There are approximately 1,200 MSOs and IPAs operating in the United States managing risk-based contracts. In Florida alone, there are 60+ delegated MSOs. The average MSO manages 5,000–25,000 Medicare Advantage lives. At $3–4 PMPM platform pricing, a single 10,000-life MSO represents $360–480K in annual recurring revenue.</w:t>
      </w:r>
    </w:p>
    <w:p>
      <w:pPr>
        <w:spacing w:after="160"/>
      </w:pPr>
      <w:r>
        <w:rPr>
          <w:rFonts w:ascii="Arial" w:cs="Arial" w:eastAsia="Arial" w:hAnsi="Arial"/>
          <w:color w:val="57534E"/>
          <w:sz w:val="22"/>
          <w:szCs w:val="22"/>
        </w:rPr>
        <w:t xml:space="preserve">Our initial serviceable market is Florida-based MSOs managing Medicare Advantage populations, particularly those with SNF/post-acute exposure where our SNF Admit Assist pipeline is uniquely valuable. This represents approximately 30–40 organizations and 200,000–400,000 managed lives.</w:t>
      </w:r>
    </w:p>
    <w:p>
      <w:r>
        <w:br w:type="page"/>
      </w:r>
    </w:p>
    <w:p>
      <w:pPr>
        <w:pStyle w:val="Heading1"/>
        <w:spacing w:after="160" w:before="360"/>
      </w:pPr>
      <w:r>
        <w:rPr>
          <w:rFonts w:ascii="Arial" w:cs="Arial" w:eastAsia="Arial" w:hAnsi="Arial"/>
          <w:b/>
          <w:bCs/>
          <w:color w:val="1C1917"/>
          <w:sz w:val="36"/>
          <w:szCs w:val="36"/>
        </w:rPr>
        <w:t xml:space="preserve">2. Prospect Pipeline</w:t>
      </w:r>
    </w:p>
    <w:p>
      <w:pPr>
        <w:spacing w:after="160"/>
      </w:pPr>
      <w:r>
        <w:rPr>
          <w:rFonts w:ascii="Arial" w:cs="Arial" w:eastAsia="Arial" w:hAnsi="Arial"/>
          <w:color w:val="57534E"/>
          <w:sz w:val="22"/>
          <w:szCs w:val="22"/>
        </w:rPr>
        <w:t xml:space="preserve">We have identified five MSO prospects at varying stages of relationship, ranging from our own practice (immediate deployment) to large regional organizations (enterprise opportunity).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100"/>
        <w:gridCol w:w="2760"/>
        <w:gridCol w:w="2400"/>
      </w:tblGrid>
      <w:tr>
        <w:tc>
          <w:tcPr>
            <w:tcW w:type="dxa" w:w="22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Prospect</w:t>
            </w:r>
          </w:p>
        </w:tc>
        <w:tc>
          <w:tcPr>
            <w:tcW w:type="dxa" w:w="9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Lives</w:t>
            </w:r>
          </w:p>
        </w:tc>
        <w:tc>
          <w:tcPr>
            <w:tcW w:type="dxa" w:w="11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Tier</w:t>
            </w:r>
          </w:p>
        </w:tc>
        <w:tc>
          <w:tcPr>
            <w:tcW w:type="dxa" w:w="276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Relationship</w:t>
            </w:r>
          </w:p>
        </w:tc>
        <w:tc>
          <w:tcPr>
            <w:tcW w:type="dxa" w:w="24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Estimated ACV</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Own MSO (Spergel/Milko)</w:t>
            </w:r>
          </w:p>
        </w:tc>
        <w:tc>
          <w:tcPr>
            <w:tcW w:type="dxa" w:w="9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4,000</w:t>
            </w:r>
          </w:p>
        </w:tc>
        <w:tc>
          <w:tcPr>
            <w:tcW w:type="dxa" w:w="11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Pilot</w:t>
            </w:r>
          </w:p>
        </w:tc>
        <w:tc>
          <w:tcPr>
            <w:tcW w:type="dxa" w:w="27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Internal — deploy immediately</w:t>
            </w:r>
          </w:p>
        </w:tc>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$96–144K</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Regional MSO A (FL)</w:t>
            </w:r>
          </w:p>
        </w:tc>
        <w:tc>
          <w:tcPr>
            <w:tcW w:type="dxa" w:w="9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15,000</w:t>
            </w:r>
          </w:p>
        </w:tc>
        <w:tc>
          <w:tcPr>
            <w:tcW w:type="dxa" w:w="11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Mid-Market</w:t>
            </w:r>
          </w:p>
        </w:tc>
        <w:tc>
          <w:tcPr>
            <w:tcW w:type="dxa" w:w="27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Known contact, warm intro possible</w:t>
            </w:r>
          </w:p>
        </w:tc>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$450–720K</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Large Regional MSO B</w:t>
            </w:r>
          </w:p>
        </w:tc>
        <w:tc>
          <w:tcPr>
            <w:tcW w:type="dxa" w:w="9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250,000</w:t>
            </w:r>
          </w:p>
        </w:tc>
        <w:tc>
          <w:tcPr>
            <w:tcW w:type="dxa" w:w="11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Enterprise</w:t>
            </w:r>
          </w:p>
        </w:tc>
        <w:tc>
          <w:tcPr>
            <w:tcW w:type="dxa" w:w="27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Requires formal sales process</w:t>
            </w:r>
          </w:p>
        </w:tc>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$4–8M+</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Regional MSO C (nearby)</w:t>
            </w:r>
          </w:p>
        </w:tc>
        <w:tc>
          <w:tcPr>
            <w:tcW w:type="dxa" w:w="9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4,000</w:t>
            </w:r>
          </w:p>
        </w:tc>
        <w:tc>
          <w:tcPr>
            <w:tcW w:type="dxa" w:w="11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Small</w:t>
            </w:r>
          </w:p>
        </w:tc>
        <w:tc>
          <w:tcPr>
            <w:tcW w:type="dxa" w:w="27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Known, few hours away</w:t>
            </w:r>
          </w:p>
        </w:tc>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$96–144K</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Regional MSO D</w:t>
            </w:r>
          </w:p>
        </w:tc>
        <w:tc>
          <w:tcPr>
            <w:tcW w:type="dxa" w:w="9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2,000</w:t>
            </w:r>
          </w:p>
        </w:tc>
        <w:tc>
          <w:tcPr>
            <w:tcW w:type="dxa" w:w="11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Small</w:t>
            </w:r>
          </w:p>
        </w:tc>
        <w:tc>
          <w:tcPr>
            <w:tcW w:type="dxa" w:w="27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Early relationship</w:t>
            </w:r>
          </w:p>
        </w:tc>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$48–72K</w:t>
            </w:r>
          </w:p>
        </w:tc>
      </w:tr>
    </w:tbl>
    <w:p>
      <w:pPr>
        <w:spacing w:after="200"/>
      </w:pPr>
    </w:p>
    <w:p>
      <w:pPr>
        <w:spacing w:after="160"/>
      </w:pPr>
      <w:r>
        <w:rPr>
          <w:rFonts w:ascii="Arial" w:cs="Arial" w:eastAsia="Arial" w:hAnsi="Arial"/>
          <w:b/>
          <w:bCs/>
          <w:color w:val="1C1917"/>
          <w:sz w:val="22"/>
          <w:szCs w:val="22"/>
        </w:rPr>
        <w:t xml:space="preserve">Total addressable pipeline: ~275,000 lives</w:t>
      </w:r>
      <w:r>
        <w:rPr>
          <w:rFonts w:ascii="Arial" w:cs="Arial" w:eastAsia="Arial" w:hAnsi="Arial"/>
          <w:color w:val="57534E"/>
          <w:sz w:val="22"/>
          <w:szCs w:val="22"/>
        </w:rPr>
        <w:t xml:space="preserve"> across 5 prospects, representing </w:t>
      </w:r>
      <w:r>
        <w:rPr>
          <w:rFonts w:ascii="Arial" w:cs="Arial" w:eastAsia="Arial" w:hAnsi="Arial"/>
          <w:b/>
          <w:bCs/>
          <w:color w:val="16A34A"/>
          <w:sz w:val="22"/>
          <w:szCs w:val="22"/>
        </w:rPr>
        <w:t xml:space="preserve">$4.7–$9M+ </w:t>
      </w:r>
      <w:r>
        <w:rPr>
          <w:rFonts w:ascii="Arial" w:cs="Arial" w:eastAsia="Arial" w:hAnsi="Arial"/>
          <w:color w:val="57534E"/>
          <w:sz w:val="22"/>
          <w:szCs w:val="22"/>
        </w:rPr>
        <w:t xml:space="preserve">in potential annual recurring revenue.</w:t>
      </w:r>
    </w:p>
    <w:p>
      <w:pPr>
        <w:pStyle w:val="Heading2"/>
        <w:spacing w:after="120" w:before="280"/>
      </w:pPr>
      <w:r>
        <w:rPr>
          <w:rFonts w:ascii="Arial" w:cs="Arial" w:eastAsia="Arial" w:hAnsi="Arial"/>
          <w:b/>
          <w:bCs/>
          <w:color w:val="1C1917"/>
          <w:sz w:val="28"/>
          <w:szCs w:val="28"/>
        </w:rPr>
        <w:t xml:space="preserve">Prospect Analysis</w:t>
      </w:r>
    </w:p>
    <w:p>
      <w:pPr>
        <w:pStyle w:val="Heading3"/>
        <w:spacing w:after="100" w:before="200"/>
      </w:pPr>
      <w:r>
        <w:rPr>
          <w:rFonts w:ascii="Arial" w:cs="Arial" w:eastAsia="Arial" w:hAnsi="Arial"/>
          <w:b/>
          <w:bCs/>
          <w:color w:val="1C1917"/>
          <w:sz w:val="24"/>
          <w:szCs w:val="24"/>
        </w:rPr>
        <w:t xml:space="preserve">Tier 1: Own MSO (4,000 lives) — The Launchpad</w:t>
      </w:r>
    </w:p>
    <w:p>
      <w:pPr>
        <w:spacing w:after="160"/>
      </w:pPr>
      <w:r>
        <w:rPr>
          <w:rFonts w:ascii="Arial" w:cs="Arial" w:eastAsia="Arial" w:hAnsi="Arial"/>
          <w:color w:val="57534E"/>
          <w:sz w:val="22"/>
          <w:szCs w:val="22"/>
        </w:rPr>
        <w:t xml:space="preserve">Your own MSO with Dr. Milko is the ideal pilot environment. You control the data, the workflow, and the decision-making. Zero sales cycle. Deploy the platform against your own panel to validate outcomes before approaching external clients.</w:t>
      </w:r>
    </w:p>
    <w:p>
      <w:pPr>
        <w:spacing w:after="160"/>
      </w:pPr>
      <w:r>
        <w:rPr>
          <w:rFonts w:ascii="Arial" w:cs="Arial" w:eastAsia="Arial" w:hAnsi="Arial"/>
          <w:b/>
          <w:bCs/>
          <w:color w:val="1C1917"/>
          <w:sz w:val="22"/>
          <w:szCs w:val="22"/>
        </w:rPr>
        <w:t xml:space="preserve">Strategy: </w:t>
      </w:r>
      <w:r>
        <w:rPr>
          <w:rFonts w:ascii="Arial" w:cs="Arial" w:eastAsia="Arial" w:hAnsi="Arial"/>
          <w:color w:val="57534E"/>
          <w:sz w:val="22"/>
          <w:szCs w:val="22"/>
        </w:rPr>
        <w:t xml:space="preserve">Deploy SNF Admit Assist immediately for your hospitalist encounters. Layer on AutoCoder integration. Track RAF uplift, time savings, and quality gap closure rates over 90 days. These metrics become your sales collateral for every subsequent prospect.</w:t>
      </w:r>
    </w:p>
    <w:p>
      <w:pPr>
        <w:spacing w:after="160"/>
      </w:pPr>
      <w:r>
        <w:rPr>
          <w:rFonts w:ascii="Arial" w:cs="Arial" w:eastAsia="Arial" w:hAnsi="Arial"/>
          <w:b/>
          <w:bCs/>
          <w:color w:val="1C1917"/>
          <w:sz w:val="22"/>
          <w:szCs w:val="22"/>
        </w:rPr>
        <w:t xml:space="preserve">Revenue model: </w:t>
      </w:r>
      <w:r>
        <w:rPr>
          <w:rFonts w:ascii="Arial" w:cs="Arial" w:eastAsia="Arial" w:hAnsi="Arial"/>
          <w:color w:val="57534E"/>
          <w:sz w:val="22"/>
          <w:szCs w:val="22"/>
        </w:rPr>
        <w:t xml:space="preserve">Internal cost savings rather than explicit PMPM. Document the ROI: time saved per encounter, HCCs captured that would have been missed, denials prevented. Target: demonstrate $200–400K in annualized value creation from coding accuracy + denial prevention within 6 months.</w:t>
      </w:r>
    </w:p>
    <w:p>
      <w:pPr>
        <w:spacing w:after="160"/>
      </w:pPr>
      <w:r>
        <w:rPr>
          <w:rFonts w:ascii="Arial" w:cs="Arial" w:eastAsia="Arial" w:hAnsi="Arial"/>
          <w:b/>
          <w:bCs/>
          <w:color w:val="1C1917"/>
          <w:sz w:val="22"/>
          <w:szCs w:val="22"/>
        </w:rPr>
        <w:t xml:space="preserve">Timeline: </w:t>
      </w:r>
      <w:r>
        <w:rPr>
          <w:rFonts w:ascii="Arial" w:cs="Arial" w:eastAsia="Arial" w:hAnsi="Arial"/>
          <w:color w:val="57534E"/>
          <w:sz w:val="22"/>
          <w:szCs w:val="22"/>
        </w:rPr>
        <w:t xml:space="preserve">Month 1–2 deployment. Month 3–6 outcome measurement. Month 6+ case study publication.</w:t>
      </w:r>
    </w:p>
    <w:p>
      <w:pPr>
        <w:pStyle w:val="Heading3"/>
        <w:spacing w:after="100" w:before="200"/>
      </w:pPr>
      <w:r>
        <w:rPr>
          <w:rFonts w:ascii="Arial" w:cs="Arial" w:eastAsia="Arial" w:hAnsi="Arial"/>
          <w:b/>
          <w:bCs/>
          <w:color w:val="1C1917"/>
          <w:sz w:val="24"/>
          <w:szCs w:val="24"/>
        </w:rPr>
        <w:t xml:space="preserve">Tier 2: 15,000-Life Regional MSO — The Anchor Client</w:t>
      </w:r>
    </w:p>
    <w:p>
      <w:pPr>
        <w:spacing w:after="160"/>
      </w:pPr>
      <w:r>
        <w:rPr>
          <w:rFonts w:ascii="Arial" w:cs="Arial" w:eastAsia="Arial" w:hAnsi="Arial"/>
          <w:color w:val="57534E"/>
          <w:sz w:val="22"/>
          <w:szCs w:val="22"/>
        </w:rPr>
        <w:t xml:space="preserve">This is the critical first external client. At 15,000 lives, they’re large enough to generate meaningful revenue ($450–720K ACV) but small enough to implement without a massive enterprise sales process. They likely have 3–5 contracted health plans, a mix of delegated and non-delegated functions, and are struggling with the V28 transition.</w:t>
      </w:r>
    </w:p>
    <w:p>
      <w:pPr>
        <w:spacing w:after="160"/>
      </w:pPr>
      <w:r>
        <w:rPr>
          <w:rFonts w:ascii="Arial" w:cs="Arial" w:eastAsia="Arial" w:hAnsi="Arial"/>
          <w:b/>
          <w:bCs/>
          <w:color w:val="1C1917"/>
          <w:sz w:val="22"/>
          <w:szCs w:val="22"/>
        </w:rPr>
        <w:t xml:space="preserve">Strategy: </w:t>
      </w:r>
      <w:r>
        <w:rPr>
          <w:rFonts w:ascii="Arial" w:cs="Arial" w:eastAsia="Arial" w:hAnsi="Arial"/>
          <w:color w:val="57534E"/>
          <w:sz w:val="22"/>
          <w:szCs w:val="22"/>
        </w:rPr>
        <w:t xml:space="preserve">Lead with the pain point they feel most acutely. For most MSOs this size, it’s one of: (a) RAF/recapture rates falling short, (b) Star Ratings below 4.0 and losing quality bonus payments, or (c) expenditure trends threatening contract profitability. Position the platform as solving their #1 problem first, then expand.</w:t>
      </w:r>
    </w:p>
    <w:p>
      <w:pPr>
        <w:spacing w:after="160"/>
      </w:pPr>
      <w:r>
        <w:rPr>
          <w:rFonts w:ascii="Arial" w:cs="Arial" w:eastAsia="Arial" w:hAnsi="Arial"/>
          <w:b/>
          <w:bCs/>
          <w:color w:val="1C1917"/>
          <w:sz w:val="22"/>
          <w:szCs w:val="22"/>
        </w:rPr>
        <w:t xml:space="preserve">Entry wedge: </w:t>
      </w:r>
      <w:r>
        <w:rPr>
          <w:rFonts w:ascii="Arial" w:cs="Arial" w:eastAsia="Arial" w:hAnsi="Arial"/>
          <w:color w:val="57534E"/>
          <w:sz w:val="22"/>
          <w:szCs w:val="22"/>
        </w:rPr>
        <w:t xml:space="preserve">Offer a 90-day pilot on a subset of their population (e.g., one health plan, 3,000–5,000 lives). Run AutoCoder against their claims data to identify missed HCCs and quantify the RAF gap. This costs them nothing but a data extract, and gives you a concrete dollar-value finding to anchor the commercial conversation.</w:t>
      </w:r>
    </w:p>
    <w:p>
      <w:pPr>
        <w:spacing w:after="160"/>
      </w:pPr>
      <w:r>
        <w:rPr>
          <w:rFonts w:ascii="Arial" w:cs="Arial" w:eastAsia="Arial" w:hAnsi="Arial"/>
          <w:b/>
          <w:bCs/>
          <w:color w:val="1C1917"/>
          <w:sz w:val="22"/>
          <w:szCs w:val="22"/>
        </w:rPr>
        <w:t xml:space="preserve">Pricing: </w:t>
      </w:r>
      <w:r>
        <w:rPr>
          <w:rFonts w:ascii="Arial" w:cs="Arial" w:eastAsia="Arial" w:hAnsi="Arial"/>
          <w:color w:val="57534E"/>
          <w:sz w:val="22"/>
          <w:szCs w:val="22"/>
        </w:rPr>
        <w:t xml:space="preserve">$3 PMPM base platform + $20 per new HCC capture + revenue share on documented RAF uplift above their baseline. Estimated $450K–720K ACV depending on capture volume.</w:t>
      </w:r>
    </w:p>
    <w:p>
      <w:pPr>
        <w:spacing w:after="160"/>
      </w:pPr>
      <w:r>
        <w:rPr>
          <w:rFonts w:ascii="Arial" w:cs="Arial" w:eastAsia="Arial" w:hAnsi="Arial"/>
          <w:b/>
          <w:bCs/>
          <w:color w:val="1C1917"/>
          <w:sz w:val="22"/>
          <w:szCs w:val="22"/>
        </w:rPr>
        <w:t xml:space="preserve">Timeline: </w:t>
      </w:r>
      <w:r>
        <w:rPr>
          <w:rFonts w:ascii="Arial" w:cs="Arial" w:eastAsia="Arial" w:hAnsi="Arial"/>
          <w:color w:val="57534E"/>
          <w:sz w:val="22"/>
          <w:szCs w:val="22"/>
        </w:rPr>
        <w:t xml:space="preserve">Month 3–4 initial conversation. Month 5–6 pilot proposal. Month 7–9 pilot execution. Month 10+ full contract.</w:t>
      </w:r>
    </w:p>
    <w:p>
      <w:pPr>
        <w:pStyle w:val="Heading3"/>
        <w:spacing w:after="100" w:before="200"/>
      </w:pPr>
      <w:r>
        <w:rPr>
          <w:rFonts w:ascii="Arial" w:cs="Arial" w:eastAsia="Arial" w:hAnsi="Arial"/>
          <w:b/>
          <w:bCs/>
          <w:color w:val="1C1917"/>
          <w:sz w:val="24"/>
          <w:szCs w:val="24"/>
        </w:rPr>
        <w:t xml:space="preserve">Tier 3: 250,000-Life Enterprise MSO — The Transformative Deal</w:t>
      </w:r>
    </w:p>
    <w:p>
      <w:pPr>
        <w:spacing w:after="160"/>
      </w:pPr>
      <w:r>
        <w:rPr>
          <w:rFonts w:ascii="Arial" w:cs="Arial" w:eastAsia="Arial" w:hAnsi="Arial"/>
          <w:color w:val="57534E"/>
          <w:sz w:val="22"/>
          <w:szCs w:val="22"/>
        </w:rPr>
        <w:t xml:space="preserve">This is an enterprise sale that could generate $4–8M+ annually. Organizations this size have dedicated IT, compliance, and analytics teams. They will require HIPAA BAAs, security audits, SLA commitments, and a formal procurement process that could take 6–12 months.</w:t>
      </w:r>
    </w:p>
    <w:p>
      <w:pPr>
        <w:spacing w:after="160"/>
      </w:pPr>
      <w:r>
        <w:rPr>
          <w:rFonts w:ascii="Arial" w:cs="Arial" w:eastAsia="Arial" w:hAnsi="Arial"/>
          <w:b/>
          <w:bCs/>
          <w:color w:val="1C1917"/>
          <w:sz w:val="22"/>
          <w:szCs w:val="22"/>
        </w:rPr>
        <w:t xml:space="preserve">Strategy: </w:t>
      </w:r>
      <w:r>
        <w:rPr>
          <w:rFonts w:ascii="Arial" w:cs="Arial" w:eastAsia="Arial" w:hAnsi="Arial"/>
          <w:color w:val="57534E"/>
          <w:sz w:val="22"/>
          <w:szCs w:val="22"/>
        </w:rPr>
        <w:t xml:space="preserve">Do not approach this prospect until you have validated outcomes with Tier 1 and Tier 2. They need to see a case study, reference calls, and audited results before they’ll engage. When ready, lead with the expenditure analytics — at 250K lives, even a $5 PMPM cost reduction = $15M/year in savings. That’s the number that gets a C-suite meeting.</w:t>
      </w:r>
    </w:p>
    <w:p>
      <w:pPr>
        <w:spacing w:after="160"/>
      </w:pPr>
      <w:r>
        <w:rPr>
          <w:rFonts w:ascii="Arial" w:cs="Arial" w:eastAsia="Arial" w:hAnsi="Arial"/>
          <w:b/>
          <w:bCs/>
          <w:color w:val="1C1917"/>
          <w:sz w:val="22"/>
          <w:szCs w:val="22"/>
        </w:rPr>
        <w:t xml:space="preserve">Entry wedge: </w:t>
      </w:r>
      <w:r>
        <w:rPr>
          <w:rFonts w:ascii="Arial" w:cs="Arial" w:eastAsia="Arial" w:hAnsi="Arial"/>
          <w:color w:val="57534E"/>
          <w:sz w:val="22"/>
          <w:szCs w:val="22"/>
        </w:rPr>
        <w:t xml:space="preserve">Offer a free retrospective analysis of one plan’s claims data (they give you a de-identified extract, you run AutoCoder + expenditure analytics and present findings). Show them what they’re missing in RAF capture and where their spend is above benchmark.</w:t>
      </w:r>
    </w:p>
    <w:p>
      <w:pPr>
        <w:spacing w:after="160"/>
      </w:pPr>
      <w:r>
        <w:rPr>
          <w:rFonts w:ascii="Arial" w:cs="Arial" w:eastAsia="Arial" w:hAnsi="Arial"/>
          <w:b/>
          <w:bCs/>
          <w:color w:val="1C1917"/>
          <w:sz w:val="22"/>
          <w:szCs w:val="22"/>
        </w:rPr>
        <w:t xml:space="preserve">Pricing: </w:t>
      </w:r>
      <w:r>
        <w:rPr>
          <w:rFonts w:ascii="Arial" w:cs="Arial" w:eastAsia="Arial" w:hAnsi="Arial"/>
          <w:color w:val="57534E"/>
          <w:sz w:val="22"/>
          <w:szCs w:val="22"/>
        </w:rPr>
        <w:t xml:space="preserve">$2–3 PMPM (volume discount) + per-capture fees + performance guarantee on RAF uplift. At this scale, consider a shared savings model where your fee is a percentage of documented improvements.</w:t>
      </w:r>
    </w:p>
    <w:p>
      <w:pPr>
        <w:spacing w:after="160"/>
      </w:pPr>
      <w:r>
        <w:rPr>
          <w:rFonts w:ascii="Arial" w:cs="Arial" w:eastAsia="Arial" w:hAnsi="Arial"/>
          <w:b/>
          <w:bCs/>
          <w:color w:val="1C1917"/>
          <w:sz w:val="22"/>
          <w:szCs w:val="22"/>
        </w:rPr>
        <w:t xml:space="preserve">Timeline: </w:t>
      </w:r>
      <w:r>
        <w:rPr>
          <w:rFonts w:ascii="Arial" w:cs="Arial" w:eastAsia="Arial" w:hAnsi="Arial"/>
          <w:color w:val="57534E"/>
          <w:sz w:val="22"/>
          <w:szCs w:val="22"/>
        </w:rPr>
        <w:t xml:space="preserve">Month 12+ initial engagement. Month 15–18 pilot proposal. Month 18–24 implementation.</w:t>
      </w:r>
    </w:p>
    <w:p>
      <w:pPr>
        <w:pStyle w:val="Heading3"/>
        <w:spacing w:after="100" w:before="200"/>
      </w:pPr>
      <w:r>
        <w:rPr>
          <w:rFonts w:ascii="Arial" w:cs="Arial" w:eastAsia="Arial" w:hAnsi="Arial"/>
          <w:b/>
          <w:bCs/>
          <w:color w:val="1C1917"/>
          <w:sz w:val="24"/>
          <w:szCs w:val="24"/>
        </w:rPr>
        <w:t xml:space="preserve">Tier 4: Small MSOs (4,000 + 2,000 lives) — The Repeatable Sale</w:t>
      </w:r>
    </w:p>
    <w:p>
      <w:pPr>
        <w:spacing w:after="160"/>
      </w:pPr>
      <w:r>
        <w:rPr>
          <w:rFonts w:ascii="Arial" w:cs="Arial" w:eastAsia="Arial" w:hAnsi="Arial"/>
          <w:color w:val="57534E"/>
          <w:sz w:val="22"/>
          <w:szCs w:val="22"/>
        </w:rPr>
        <w:t xml:space="preserve">These smaller MSOs are the bread-and-butter of the business model. They’re typically physician-owned, operationally lean, and making decisions without a formal procurement process. The founder or managing partner is the buyer. Sales cycles are 30–60 days.</w:t>
      </w:r>
    </w:p>
    <w:p>
      <w:pPr>
        <w:spacing w:after="160"/>
      </w:pPr>
      <w:r>
        <w:rPr>
          <w:rFonts w:ascii="Arial" w:cs="Arial" w:eastAsia="Arial" w:hAnsi="Arial"/>
          <w:b/>
          <w:bCs/>
          <w:color w:val="1C1917"/>
          <w:sz w:val="22"/>
          <w:szCs w:val="22"/>
        </w:rPr>
        <w:t xml:space="preserve">Strategy: </w:t>
      </w:r>
      <w:r>
        <w:rPr>
          <w:rFonts w:ascii="Arial" w:cs="Arial" w:eastAsia="Arial" w:hAnsi="Arial"/>
          <w:color w:val="57534E"/>
          <w:sz w:val="22"/>
          <w:szCs w:val="22"/>
        </w:rPr>
        <w:t xml:space="preserve">Lead with SNF Admit Assist + AutoCoder for clinical documentation value, then expand to quality and analytics. These MSOs typically don’t have dedicated quality or analytics staff — your platform replaces a hire they can’t afford to make.</w:t>
      </w:r>
    </w:p>
    <w:p>
      <w:pPr>
        <w:spacing w:after="160"/>
      </w:pPr>
      <w:r>
        <w:rPr>
          <w:rFonts w:ascii="Arial" w:cs="Arial" w:eastAsia="Arial" w:hAnsi="Arial"/>
          <w:b/>
          <w:bCs/>
          <w:color w:val="1C1917"/>
          <w:sz w:val="22"/>
          <w:szCs w:val="22"/>
        </w:rPr>
        <w:t xml:space="preserve">Pricing: </w:t>
      </w:r>
      <w:r>
        <w:rPr>
          <w:rFonts w:ascii="Arial" w:cs="Arial" w:eastAsia="Arial" w:hAnsi="Arial"/>
          <w:color w:val="57534E"/>
          <w:sz w:val="22"/>
          <w:szCs w:val="22"/>
        </w:rPr>
        <w:t xml:space="preserve">$3–4 PMPM flat rate (simpler pricing for smaller organizations). $96–192K ACV combined across both.</w:t>
      </w:r>
    </w:p>
    <w:p>
      <w:pPr>
        <w:spacing w:after="160"/>
      </w:pPr>
      <w:r>
        <w:rPr>
          <w:rFonts w:ascii="Arial" w:cs="Arial" w:eastAsia="Arial" w:hAnsi="Arial"/>
          <w:b/>
          <w:bCs/>
          <w:color w:val="1C1917"/>
          <w:sz w:val="22"/>
          <w:szCs w:val="22"/>
        </w:rPr>
        <w:t xml:space="preserve">Timeline: </w:t>
      </w:r>
      <w:r>
        <w:rPr>
          <w:rFonts w:ascii="Arial" w:cs="Arial" w:eastAsia="Arial" w:hAnsi="Arial"/>
          <w:color w:val="57534E"/>
          <w:sz w:val="22"/>
          <w:szCs w:val="22"/>
        </w:rPr>
        <w:t xml:space="preserve">Month 6+ (after pilot results from Tier 1). 30–60 day sales cycle.</w:t>
      </w:r>
    </w:p>
    <w:p>
      <w:r>
        <w:br w:type="page"/>
      </w:r>
    </w:p>
    <w:p>
      <w:pPr>
        <w:pStyle w:val="Heading1"/>
        <w:spacing w:after="160" w:before="360"/>
      </w:pPr>
      <w:r>
        <w:rPr>
          <w:rFonts w:ascii="Arial" w:cs="Arial" w:eastAsia="Arial" w:hAnsi="Arial"/>
          <w:b/>
          <w:bCs/>
          <w:color w:val="1C1917"/>
          <w:sz w:val="36"/>
          <w:szCs w:val="36"/>
        </w:rPr>
        <w:t xml:space="preserve">3. Financial Model</w:t>
      </w:r>
    </w:p>
    <w:p>
      <w:pPr>
        <w:pStyle w:val="Heading2"/>
        <w:spacing w:after="120" w:before="280"/>
      </w:pPr>
      <w:r>
        <w:rPr>
          <w:rFonts w:ascii="Arial" w:cs="Arial" w:eastAsia="Arial" w:hAnsi="Arial"/>
          <w:b/>
          <w:bCs/>
          <w:color w:val="1C1917"/>
          <w:sz w:val="28"/>
          <w:szCs w:val="28"/>
        </w:rPr>
        <w:t xml:space="preserve">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Stream</w:t>
            </w:r>
          </w:p>
        </w:tc>
        <w:tc>
          <w:tcPr>
            <w:tcW w:type="dxa" w:w="436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Description</w:t>
            </w:r>
          </w:p>
        </w:tc>
        <w:tc>
          <w:tcPr>
            <w:tcW w:type="dxa" w:w="28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Typical Pricing</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Platform License (PMPM)</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Monthly per-member fee for full platform access</w:t>
            </w:r>
          </w:p>
        </w:tc>
        <w:tc>
          <w:tcPr>
            <w:tcW w:type="dxa" w:w="2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$2–4 PMPM</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HCC Capture Fee</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Per new HCC captured at point of care that wasn’t in prior year</w:t>
            </w:r>
          </w:p>
        </w:tc>
        <w:tc>
          <w:tcPr>
            <w:tcW w:type="dxa" w:w="2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$15–25 per capture</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SNF Admit Processing</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Per-admission note compilation + coding via SNF Admit Assist</w:t>
            </w:r>
          </w:p>
        </w:tc>
        <w:tc>
          <w:tcPr>
            <w:tcW w:type="dxa" w:w="2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$50–75 per admission</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AIClaim Pass-Through</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Markup on denial prevention / claim scrubbing</w:t>
            </w:r>
          </w:p>
        </w:tc>
        <w:tc>
          <w:tcPr>
            <w:tcW w:type="dxa" w:w="2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$1–2 per claim</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Revenue Share</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Percentage of documented RAF uplift above client’s baseline</w:t>
            </w:r>
          </w:p>
        </w:tc>
        <w:tc>
          <w:tcPr>
            <w:tcW w:type="dxa" w:w="2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8–12% of incremental $</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Data Analytics</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Ad-hoc reporting, custom analysis, board presentations</w:t>
            </w:r>
          </w:p>
        </w:tc>
        <w:tc>
          <w:tcPr>
            <w:tcW w:type="dxa" w:w="2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$2,500–5,000 per engagement</w:t>
            </w:r>
          </w:p>
        </w:tc>
      </w:tr>
    </w:tbl>
    <w:p>
      <w:pPr>
        <w:spacing w:after="200"/>
      </w:pPr>
    </w:p>
    <w:p>
      <w:pPr>
        <w:pStyle w:val="Heading2"/>
        <w:spacing w:after="120" w:before="280"/>
      </w:pPr>
      <w:r>
        <w:rPr>
          <w:rFonts w:ascii="Arial" w:cs="Arial" w:eastAsia="Arial" w:hAnsi="Arial"/>
          <w:b/>
          <w:bCs/>
          <w:color w:val="1C1917"/>
          <w:sz w:val="28"/>
          <w:szCs w:val="28"/>
        </w:rPr>
        <w:t xml:space="preserve">24-Month Revenue Projection</w:t>
      </w:r>
    </w:p>
    <w:p>
      <w:pPr>
        <w:spacing w:after="160"/>
      </w:pPr>
      <w:r>
        <w:rPr>
          <w:rFonts w:ascii="Arial" w:cs="Arial" w:eastAsia="Arial" w:hAnsi="Arial"/>
          <w:color w:val="57534E"/>
          <w:sz w:val="22"/>
          <w:szCs w:val="22"/>
        </w:rPr>
        <w:t xml:space="preserve">Conservative scenario assumes: own MSO deploys Month 1, first external client (15K lives) signs Month 9, small MSOs sign Months 10–14, enterprise engagement begins Month 18. Aggressive scenario compresses timelines by 3 months.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400"/>
        <w:gridCol w:w="2000"/>
        <w:gridCol w:w="1960"/>
      </w:tblGrid>
      <w:tr>
        <w:tc>
          <w:tcPr>
            <w:tcW w:type="dxa" w:w="18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Quarter</w:t>
            </w:r>
          </w:p>
        </w:tc>
        <w:tc>
          <w:tcPr>
            <w:tcW w:type="dxa" w:w="22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Clients</w:t>
            </w:r>
          </w:p>
        </w:tc>
        <w:tc>
          <w:tcPr>
            <w:tcW w:type="dxa" w:w="14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Total Lives</w:t>
            </w:r>
          </w:p>
        </w:tc>
        <w:tc>
          <w:tcPr>
            <w:tcW w:type="dxa" w:w="20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Quarterly Rev (Cons.)</w:t>
            </w:r>
          </w:p>
        </w:tc>
        <w:tc>
          <w:tcPr>
            <w:tcW w:type="dxa" w:w="196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Quarterly Rev (Aggr.)</w:t>
            </w:r>
          </w:p>
        </w:tc>
      </w:tr>
      <w:tr>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Q1 (Mo 1–3)</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Own MSO pilot</w:t>
            </w:r>
          </w:p>
        </w:tc>
        <w:tc>
          <w:tcPr>
            <w:tcW w:type="dxa" w:w="1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4,000</w:t>
            </w:r>
          </w:p>
        </w:tc>
        <w:tc>
          <w:tcPr>
            <w:tcW w:type="dxa" w:w="20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$0 (internal pilot)</w:t>
            </w:r>
          </w:p>
        </w:tc>
        <w:tc>
          <w:tcPr>
            <w:tcW w:type="dxa" w:w="19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$24K</w:t>
            </w:r>
          </w:p>
        </w:tc>
      </w:tr>
      <w:tr>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Q2 (Mo 4–6)</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Own MSO</w:t>
            </w:r>
          </w:p>
        </w:tc>
        <w:tc>
          <w:tcPr>
            <w:tcW w:type="dxa" w:w="1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4,000</w:t>
            </w:r>
          </w:p>
        </w:tc>
        <w:tc>
          <w:tcPr>
            <w:tcW w:type="dxa" w:w="20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$0 (building case study)</w:t>
            </w:r>
          </w:p>
        </w:tc>
        <w:tc>
          <w:tcPr>
            <w:tcW w:type="dxa" w:w="19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$36K</w:t>
            </w:r>
          </w:p>
        </w:tc>
      </w:tr>
      <w:tr>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Q3 (Mo 7–9)</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Own + pilot 15K MSO</w:t>
            </w:r>
          </w:p>
        </w:tc>
        <w:tc>
          <w:tcPr>
            <w:tcW w:type="dxa" w:w="1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9,000</w:t>
            </w:r>
          </w:p>
        </w:tc>
        <w:tc>
          <w:tcPr>
            <w:tcW w:type="dxa" w:w="20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$36K</w:t>
            </w:r>
          </w:p>
        </w:tc>
        <w:tc>
          <w:tcPr>
            <w:tcW w:type="dxa" w:w="19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$108K</w:t>
            </w:r>
          </w:p>
        </w:tc>
      </w:tr>
      <w:tr>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Q4 (Mo 10–12)</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Own + 15K + 1 small</w:t>
            </w:r>
          </w:p>
        </w:tc>
        <w:tc>
          <w:tcPr>
            <w:tcW w:type="dxa" w:w="1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17,000</w:t>
            </w:r>
          </w:p>
        </w:tc>
        <w:tc>
          <w:tcPr>
            <w:tcW w:type="dxa" w:w="20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$108K</w:t>
            </w:r>
          </w:p>
        </w:tc>
        <w:tc>
          <w:tcPr>
            <w:tcW w:type="dxa" w:w="19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$180K</w:t>
            </w:r>
          </w:p>
        </w:tc>
      </w:tr>
      <w:tr>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Q5 (Mo 13–15)</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+ 2nd small MSO</w:t>
            </w:r>
          </w:p>
        </w:tc>
        <w:tc>
          <w:tcPr>
            <w:tcW w:type="dxa" w:w="1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19,000</w:t>
            </w:r>
          </w:p>
        </w:tc>
        <w:tc>
          <w:tcPr>
            <w:tcW w:type="dxa" w:w="20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$144K</w:t>
            </w:r>
          </w:p>
        </w:tc>
        <w:tc>
          <w:tcPr>
            <w:tcW w:type="dxa" w:w="19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$216K</w:t>
            </w:r>
          </w:p>
        </w:tc>
      </w:tr>
      <w:tr>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Q6 (Mo 16–18)</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Stabilize + grow captures</w:t>
            </w:r>
          </w:p>
        </w:tc>
        <w:tc>
          <w:tcPr>
            <w:tcW w:type="dxa" w:w="1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21,000</w:t>
            </w:r>
          </w:p>
        </w:tc>
        <w:tc>
          <w:tcPr>
            <w:tcW w:type="dxa" w:w="20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$180K</w:t>
            </w:r>
          </w:p>
        </w:tc>
        <w:tc>
          <w:tcPr>
            <w:tcW w:type="dxa" w:w="19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$270K</w:t>
            </w:r>
          </w:p>
        </w:tc>
      </w:tr>
      <w:tr>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Q7 (Mo 19–21)</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 enterprise pilot subset</w:t>
            </w:r>
          </w:p>
        </w:tc>
        <w:tc>
          <w:tcPr>
            <w:tcW w:type="dxa" w:w="1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46,000</w:t>
            </w:r>
          </w:p>
        </w:tc>
        <w:tc>
          <w:tcPr>
            <w:tcW w:type="dxa" w:w="20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$270K</w:t>
            </w:r>
          </w:p>
        </w:tc>
        <w:tc>
          <w:tcPr>
            <w:tcW w:type="dxa" w:w="19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$504K</w:t>
            </w:r>
          </w:p>
        </w:tc>
      </w:tr>
      <w:tr>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Q8 (Mo 22–24)</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Enterprise expanding</w:t>
            </w:r>
          </w:p>
        </w:tc>
        <w:tc>
          <w:tcPr>
            <w:tcW w:type="dxa" w:w="1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71,000</w:t>
            </w:r>
          </w:p>
        </w:tc>
        <w:tc>
          <w:tcPr>
            <w:tcW w:type="dxa" w:w="20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$432K</w:t>
            </w:r>
          </w:p>
        </w:tc>
        <w:tc>
          <w:tcPr>
            <w:tcW w:type="dxa" w:w="19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$828K</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Metric</w:t>
            </w:r>
          </w:p>
        </w:tc>
        <w:tc>
          <w:tcPr>
            <w:tcW w:type="dxa" w:w="288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Conservative (24mo)</w:t>
            </w:r>
          </w:p>
        </w:tc>
        <w:tc>
          <w:tcPr>
            <w:tcW w:type="dxa" w:w="288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Aggressive (24mo)</w:t>
            </w:r>
          </w:p>
        </w:tc>
      </w:tr>
      <w:tr>
        <w:tc>
          <w:tcPr>
            <w:tcW w:type="dxa" w:w="36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Total clients</w:t>
            </w:r>
          </w:p>
        </w:tc>
        <w:tc>
          <w:tcPr>
            <w:tcW w:type="dxa" w:w="288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5</w:t>
            </w:r>
          </w:p>
        </w:tc>
        <w:tc>
          <w:tcPr>
            <w:tcW w:type="dxa" w:w="288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6</w:t>
            </w:r>
          </w:p>
        </w:tc>
      </w:tr>
      <w:tr>
        <w:tc>
          <w:tcPr>
            <w:tcW w:type="dxa" w:w="36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Total lives under management</w:t>
            </w:r>
          </w:p>
        </w:tc>
        <w:tc>
          <w:tcPr>
            <w:tcW w:type="dxa" w:w="288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71,000</w:t>
            </w:r>
          </w:p>
        </w:tc>
        <w:tc>
          <w:tcPr>
            <w:tcW w:type="dxa" w:w="288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96,000</w:t>
            </w:r>
          </w:p>
        </w:tc>
      </w:tr>
      <w:tr>
        <w:tc>
          <w:tcPr>
            <w:tcW w:type="dxa" w:w="36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Run-rate ARR at Month 24</w:t>
            </w:r>
          </w:p>
        </w:tc>
        <w:tc>
          <w:tcPr>
            <w:tcW w:type="dxa" w:w="288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$1.7M</w:t>
            </w:r>
          </w:p>
        </w:tc>
        <w:tc>
          <w:tcPr>
            <w:tcW w:type="dxa" w:w="288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$3.3M</w:t>
            </w:r>
          </w:p>
        </w:tc>
      </w:tr>
      <w:tr>
        <w:tc>
          <w:tcPr>
            <w:tcW w:type="dxa" w:w="36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Cumulative revenue (24 months)</w:t>
            </w:r>
          </w:p>
        </w:tc>
        <w:tc>
          <w:tcPr>
            <w:tcW w:type="dxa" w:w="288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$1.17M</w:t>
            </w:r>
          </w:p>
        </w:tc>
        <w:tc>
          <w:tcPr>
            <w:tcW w:type="dxa" w:w="288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$2.17M</w:t>
            </w:r>
          </w:p>
        </w:tc>
      </w:tr>
      <w:tr>
        <w:tc>
          <w:tcPr>
            <w:tcW w:type="dxa" w:w="36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Average revenue per life per year</w:t>
            </w:r>
          </w:p>
        </w:tc>
        <w:tc>
          <w:tcPr>
            <w:tcW w:type="dxa" w:w="288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$24</w:t>
            </w:r>
          </w:p>
        </w:tc>
        <w:tc>
          <w:tcPr>
            <w:tcW w:type="dxa" w:w="288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$34</w:t>
            </w:r>
          </w:p>
        </w:tc>
      </w:tr>
    </w:tbl>
    <w:p>
      <w:pPr>
        <w:spacing w:after="200"/>
      </w:pPr>
    </w:p>
    <w:p>
      <w:pPr>
        <w:pStyle w:val="Heading2"/>
        <w:spacing w:after="120" w:before="280"/>
      </w:pPr>
      <w:r>
        <w:rPr>
          <w:rFonts w:ascii="Arial" w:cs="Arial" w:eastAsia="Arial" w:hAnsi="Arial"/>
          <w:b/>
          <w:bCs/>
          <w:color w:val="1C1917"/>
          <w:sz w:val="28"/>
          <w:szCs w:val="28"/>
        </w:rPr>
        <w:t xml:space="preserve">Cost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Category</w:t>
            </w:r>
          </w:p>
        </w:tc>
        <w:tc>
          <w:tcPr>
            <w:tcW w:type="dxa" w:w="18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Monthly (Year 1)</w:t>
            </w:r>
          </w:p>
        </w:tc>
        <w:tc>
          <w:tcPr>
            <w:tcW w:type="dxa" w:w="18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Monthly (Year 2)</w:t>
            </w:r>
          </w:p>
        </w:tc>
        <w:tc>
          <w:tcPr>
            <w:tcW w:type="dxa" w:w="336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Notes</w:t>
            </w:r>
          </w:p>
        </w:tc>
      </w:tr>
      <w:tr>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Engineering (2–3 devs)</w:t>
            </w:r>
          </w:p>
        </w:tc>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$25–40K</w:t>
            </w:r>
          </w:p>
        </w:tc>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$35–50K</w:t>
            </w:r>
          </w:p>
        </w:tc>
        <w:tc>
          <w:tcPr>
            <w:tcW w:type="dxa" w:w="3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Could be AQSoft.AI team + contractors</w:t>
            </w:r>
          </w:p>
        </w:tc>
      </w:tr>
      <w:tr>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Cloud infrastructure</w:t>
            </w:r>
          </w:p>
        </w:tc>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$2–4K</w:t>
            </w:r>
          </w:p>
        </w:tc>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$5–10K</w:t>
            </w:r>
          </w:p>
        </w:tc>
        <w:tc>
          <w:tcPr>
            <w:tcW w:type="dxa" w:w="3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AWS/GCP, scales with clients</w:t>
            </w:r>
          </w:p>
        </w:tc>
      </w:tr>
      <w:tr>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LLM API costs</w:t>
            </w:r>
          </w:p>
        </w:tc>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$1–2K</w:t>
            </w:r>
          </w:p>
        </w:tc>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$3–6K</w:t>
            </w:r>
          </w:p>
        </w:tc>
        <w:tc>
          <w:tcPr>
            <w:tcW w:type="dxa" w:w="3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Anthropic/OpenAI for AutoCoder, LLM triage</w:t>
            </w:r>
          </w:p>
        </w:tc>
      </w:tr>
      <w:tr>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AIClaim API fees</w:t>
            </w:r>
          </w:p>
        </w:tc>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$0</w:t>
            </w:r>
          </w:p>
        </w:tc>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$2–5K</w:t>
            </w:r>
          </w:p>
        </w:tc>
        <w:tc>
          <w:tcPr>
            <w:tcW w:type="dxa" w:w="3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Starts when billing module is live</w:t>
            </w:r>
          </w:p>
        </w:tc>
      </w:tr>
      <w:tr>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Sales &amp; marketing</w:t>
            </w:r>
          </w:p>
        </w:tc>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$2–5K</w:t>
            </w:r>
          </w:p>
        </w:tc>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$5–10K</w:t>
            </w:r>
          </w:p>
        </w:tc>
        <w:tc>
          <w:tcPr>
            <w:tcW w:type="dxa" w:w="3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Conferences, content, demos</w:t>
            </w:r>
          </w:p>
        </w:tc>
      </w:tr>
      <w:tr>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Legal / compliance</w:t>
            </w:r>
          </w:p>
        </w:tc>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$2–3K</w:t>
            </w:r>
          </w:p>
        </w:tc>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$3–5K</w:t>
            </w:r>
          </w:p>
        </w:tc>
        <w:tc>
          <w:tcPr>
            <w:tcW w:type="dxa" w:w="3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BAAs, security audits, contracts</w:t>
            </w:r>
          </w:p>
        </w:tc>
      </w:tr>
      <w:tr>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Insurance (E&amp;O, cyber)</w:t>
            </w:r>
          </w:p>
        </w:tc>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$1–2K</w:t>
            </w:r>
          </w:p>
        </w:tc>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$2–3K</w:t>
            </w:r>
          </w:p>
        </w:tc>
        <w:tc>
          <w:tcPr>
            <w:tcW w:type="dxa" w:w="3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Required for healthcare</w:t>
            </w:r>
          </w:p>
        </w:tc>
      </w:tr>
      <w:tr>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Total monthly burn</w:t>
            </w:r>
          </w:p>
        </w:tc>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$33–56K</w:t>
            </w:r>
          </w:p>
        </w:tc>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$55–89K</w:t>
            </w:r>
          </w:p>
        </w:tc>
        <w:tc>
          <w:tcPr>
            <w:tcW w:type="dxa" w:w="3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
            </w:r>
          </w:p>
        </w:tc>
      </w:tr>
      <w:tr>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Annual burn</w:t>
            </w:r>
          </w:p>
        </w:tc>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$400–670K</w:t>
            </w:r>
          </w:p>
        </w:tc>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$660K–$1.07M</w:t>
            </w:r>
          </w:p>
        </w:tc>
        <w:tc>
          <w:tcPr>
            <w:tcW w:type="dxa" w:w="3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
            </w:r>
          </w:p>
        </w:tc>
      </w:tr>
    </w:tbl>
    <w:p>
      <w:pPr>
        <w:spacing w:after="200"/>
      </w:pPr>
    </w:p>
    <w:p>
      <w:pPr>
        <w:pStyle w:val="Heading2"/>
        <w:spacing w:after="120" w:before="280"/>
      </w:pPr>
      <w:r>
        <w:rPr>
          <w:rFonts w:ascii="Arial" w:cs="Arial" w:eastAsia="Arial" w:hAnsi="Arial"/>
          <w:b/>
          <w:bCs/>
          <w:color w:val="1C1917"/>
          <w:sz w:val="28"/>
          <w:szCs w:val="28"/>
        </w:rPr>
        <w:t xml:space="preserve">Path to Profitability</w:t>
      </w:r>
    </w:p>
    <w:p>
      <w:pPr>
        <w:spacing w:after="160"/>
      </w:pPr>
      <w:r>
        <w:rPr>
          <w:rFonts w:ascii="Arial" w:cs="Arial" w:eastAsia="Arial" w:hAnsi="Arial"/>
          <w:color w:val="57534E"/>
          <w:sz w:val="22"/>
          <w:szCs w:val="22"/>
        </w:rPr>
        <w:t xml:space="preserve">Under the conservative model, the platform reaches cash-flow breakeven around Month 18–20 when monthly revenue (~$45–60K) exceeds monthly burn (~$45–55K). Under the aggressive model, breakeven occurs around Month 14–16. The enterprise client (if closed) accelerates profitability dramatically — adding even 25,000 lives at $3 PMPM adds $75K/month in revenue.</w:t>
      </w:r>
    </w:p>
    <w:p>
      <w:pPr>
        <w:spacing w:after="160"/>
      </w:pPr>
      <w:r>
        <w:rPr>
          <w:rFonts w:ascii="Arial" w:cs="Arial" w:eastAsia="Arial" w:hAnsi="Arial"/>
          <w:b/>
          <w:bCs/>
          <w:color w:val="1C1917"/>
          <w:sz w:val="22"/>
          <w:szCs w:val="22"/>
        </w:rPr>
        <w:t xml:space="preserve">Key insight: </w:t>
      </w:r>
      <w:r>
        <w:rPr>
          <w:rFonts w:ascii="Arial" w:cs="Arial" w:eastAsia="Arial" w:hAnsi="Arial"/>
          <w:color w:val="57534E"/>
          <w:sz w:val="22"/>
          <w:szCs w:val="22"/>
        </w:rPr>
        <w:t xml:space="preserve">The business is profitable at approximately 15,000–20,000 managed lives under a lean cost structure. Your pipeline already contains 275,000 lives. The question is execution speed, not market size.</w:t>
      </w:r>
    </w:p>
    <w:p>
      <w:r>
        <w:br w:type="page"/>
      </w:r>
    </w:p>
    <w:p>
      <w:pPr>
        <w:pStyle w:val="Heading1"/>
        <w:spacing w:after="160" w:before="360"/>
      </w:pPr>
      <w:r>
        <w:rPr>
          <w:rFonts w:ascii="Arial" w:cs="Arial" w:eastAsia="Arial" w:hAnsi="Arial"/>
          <w:b/>
          <w:bCs/>
          <w:color w:val="1C1917"/>
          <w:sz w:val="36"/>
          <w:szCs w:val="36"/>
        </w:rPr>
        <w:t xml:space="preserve">4. Value Proposition by Client Size</w:t>
      </w:r>
    </w:p>
    <w:p>
      <w:pPr>
        <w:pStyle w:val="Heading2"/>
        <w:spacing w:after="120" w:before="280"/>
      </w:pPr>
      <w:r>
        <w:rPr>
          <w:rFonts w:ascii="Arial" w:cs="Arial" w:eastAsia="Arial" w:hAnsi="Arial"/>
          <w:b/>
          <w:bCs/>
          <w:color w:val="1C1917"/>
          <w:sz w:val="28"/>
          <w:szCs w:val="28"/>
        </w:rPr>
        <w:t xml:space="preserve">For Small MSOs (2,000–5,000 lives)</w:t>
      </w:r>
    </w:p>
    <w:p>
      <w:pPr>
        <w:spacing w:after="160"/>
      </w:pPr>
      <w:r>
        <w:rPr>
          <w:rFonts w:ascii="Arial" w:cs="Arial" w:eastAsia="Arial" w:hAnsi="Arial"/>
          <w:color w:val="57534E"/>
          <w:sz w:val="22"/>
          <w:szCs w:val="22"/>
        </w:rPr>
        <w:t xml:space="preserve">These MSOs typically have 1–2 health plan contracts, 5–15 providers, and a small administrative team. They’re struggling to keep up with V28 changes, quality reporting, and care management without dedicated analytics staff.</w:t>
      </w:r>
    </w:p>
    <w:p>
      <w:pPr>
        <w:spacing w:after="160"/>
      </w:pPr>
      <w:r>
        <w:rPr>
          <w:rFonts w:ascii="Arial" w:cs="Arial" w:eastAsia="Arial" w:hAnsi="Arial"/>
          <w:b/>
          <w:bCs/>
          <w:color w:val="1C1917"/>
          <w:sz w:val="22"/>
          <w:szCs w:val="22"/>
        </w:rPr>
        <w:t xml:space="preserve">What we solve: </w:t>
      </w:r>
      <w:r>
        <w:rPr>
          <w:rFonts w:ascii="Arial" w:cs="Arial" w:eastAsia="Arial" w:hAnsi="Arial"/>
          <w:color w:val="57534E"/>
          <w:sz w:val="22"/>
          <w:szCs w:val="22"/>
        </w:rPr>
        <w:t xml:space="preserve">Replace 3–5 manual processes (plan portal downloads, Excel tracking, paper-based care management) with one platform. Give them analytics capabilities they literally cannot afford to build or hire for.</w:t>
      </w:r>
    </w:p>
    <w:p>
      <w:pPr>
        <w:spacing w:after="160"/>
      </w:pPr>
      <w:r>
        <w:rPr>
          <w:rFonts w:ascii="Arial" w:cs="Arial" w:eastAsia="Arial" w:hAnsi="Arial"/>
          <w:b/>
          <w:bCs/>
          <w:color w:val="1C1917"/>
          <w:sz w:val="22"/>
          <w:szCs w:val="22"/>
        </w:rPr>
        <w:t xml:space="preserve">ROI pitch: </w:t>
      </w:r>
      <w:r>
        <w:rPr>
          <w:rFonts w:ascii="Arial" w:cs="Arial" w:eastAsia="Arial" w:hAnsi="Arial"/>
          <w:color w:val="57534E"/>
          <w:sz w:val="22"/>
          <w:szCs w:val="22"/>
        </w:rPr>
        <w:t xml:space="preserve">At 4,000 lives with average RAF 1.2, capturing just 5% more HCCs (200 additional codes at avg $1,500 incremental revenue per HCC) = $300K in additional risk-adjusted revenue. Platform cost at $4 PMPM = $192K. Net ROI = $108K+ in year one, before quality bonus improvements.</w:t>
      </w:r>
    </w:p>
    <w:p>
      <w:pPr>
        <w:pStyle w:val="Heading2"/>
        <w:spacing w:after="120" w:before="280"/>
      </w:pPr>
      <w:r>
        <w:rPr>
          <w:rFonts w:ascii="Arial" w:cs="Arial" w:eastAsia="Arial" w:hAnsi="Arial"/>
          <w:b/>
          <w:bCs/>
          <w:color w:val="1C1917"/>
          <w:sz w:val="28"/>
          <w:szCs w:val="28"/>
        </w:rPr>
        <w:t xml:space="preserve">For Mid-Market MSOs (10,000–30,000 lives)</w:t>
      </w:r>
    </w:p>
    <w:p>
      <w:pPr>
        <w:spacing w:after="160"/>
      </w:pPr>
      <w:r>
        <w:rPr>
          <w:rFonts w:ascii="Arial" w:cs="Arial" w:eastAsia="Arial" w:hAnsi="Arial"/>
          <w:color w:val="57534E"/>
          <w:sz w:val="22"/>
          <w:szCs w:val="22"/>
        </w:rPr>
        <w:t xml:space="preserve">These organizations have dedicated quality and analytics teams but are using fragmented tools. They have 3–8 payer contracts and are managing delegated UM, care management, and credentialing.</w:t>
      </w:r>
    </w:p>
    <w:p>
      <w:pPr>
        <w:spacing w:after="160"/>
      </w:pPr>
      <w:r>
        <w:rPr>
          <w:rFonts w:ascii="Arial" w:cs="Arial" w:eastAsia="Arial" w:hAnsi="Arial"/>
          <w:b/>
          <w:bCs/>
          <w:color w:val="1C1917"/>
          <w:sz w:val="22"/>
          <w:szCs w:val="22"/>
        </w:rPr>
        <w:t xml:space="preserve">What we solve: </w:t>
      </w:r>
      <w:r>
        <w:rPr>
          <w:rFonts w:ascii="Arial" w:cs="Arial" w:eastAsia="Arial" w:hAnsi="Arial"/>
          <w:color w:val="57534E"/>
          <w:sz w:val="22"/>
          <w:szCs w:val="22"/>
        </w:rPr>
        <w:t xml:space="preserve">Unify their data across payers into one platform. Replace retrospective chart review with prospective point-of-care capture. Give care managers a real workbench instead of spreadsheets. Provide expenditure drill-downs that identify specific cost reduction opportunities.</w:t>
      </w:r>
    </w:p>
    <w:p>
      <w:pPr>
        <w:spacing w:after="160"/>
      </w:pPr>
      <w:r>
        <w:rPr>
          <w:rFonts w:ascii="Arial" w:cs="Arial" w:eastAsia="Arial" w:hAnsi="Arial"/>
          <w:b/>
          <w:bCs/>
          <w:color w:val="1C1917"/>
          <w:sz w:val="22"/>
          <w:szCs w:val="22"/>
        </w:rPr>
        <w:t xml:space="preserve">ROI pitch: </w:t>
      </w:r>
      <w:r>
        <w:rPr>
          <w:rFonts w:ascii="Arial" w:cs="Arial" w:eastAsia="Arial" w:hAnsi="Arial"/>
          <w:color w:val="57534E"/>
          <w:sz w:val="22"/>
          <w:szCs w:val="22"/>
        </w:rPr>
        <w:t xml:space="preserve">At 15,000 lives, a 1% improvement in RAF accuracy = approximately $1.5M in incremental revenue. A 10% reduction in avoidable inpatient admissions = $500K–$1M in cost savings. Combined potential: $2–2.5M in value creation against a platform cost of $540–720K.</w:t>
      </w:r>
    </w:p>
    <w:p>
      <w:pPr>
        <w:pStyle w:val="Heading2"/>
        <w:spacing w:after="120" w:before="280"/>
      </w:pPr>
      <w:r>
        <w:rPr>
          <w:rFonts w:ascii="Arial" w:cs="Arial" w:eastAsia="Arial" w:hAnsi="Arial"/>
          <w:b/>
          <w:bCs/>
          <w:color w:val="1C1917"/>
          <w:sz w:val="28"/>
          <w:szCs w:val="28"/>
        </w:rPr>
        <w:t xml:space="preserve">For Enterprise MSOs (100,000+ lives)</w:t>
      </w:r>
    </w:p>
    <w:p>
      <w:pPr>
        <w:spacing w:after="160"/>
      </w:pPr>
      <w:r>
        <w:rPr>
          <w:rFonts w:ascii="Arial" w:cs="Arial" w:eastAsia="Arial" w:hAnsi="Arial"/>
          <w:color w:val="57534E"/>
          <w:sz w:val="22"/>
          <w:szCs w:val="22"/>
        </w:rPr>
        <w:t xml:space="preserve">These are sophisticated organizations with actuarial teams, IT departments, and formal vendor management. They’re evaluating platforms like Arcadia, Innovaccer, and NaviHealth.</w:t>
      </w:r>
    </w:p>
    <w:p>
      <w:pPr>
        <w:spacing w:after="160"/>
      </w:pPr>
      <w:r>
        <w:rPr>
          <w:rFonts w:ascii="Arial" w:cs="Arial" w:eastAsia="Arial" w:hAnsi="Arial"/>
          <w:b/>
          <w:bCs/>
          <w:color w:val="1C1917"/>
          <w:sz w:val="22"/>
          <w:szCs w:val="22"/>
        </w:rPr>
        <w:t xml:space="preserve">What we solve: </w:t>
      </w:r>
      <w:r>
        <w:rPr>
          <w:rFonts w:ascii="Arial" w:cs="Arial" w:eastAsia="Arial" w:hAnsi="Arial"/>
          <w:color w:val="57534E"/>
          <w:sz w:val="22"/>
          <w:szCs w:val="22"/>
        </w:rPr>
        <w:t xml:space="preserve">Compete on clinical workflow integration (unlike Arcadia which is analytics-only). Compete on cost (unlike Innovaccer which requires $500K+ implementation). Compete on SNF/post-acute intelligence (unlike anyone). Open-source base eliminates vendor lock-in concerns.</w:t>
      </w:r>
    </w:p>
    <w:p>
      <w:pPr>
        <w:spacing w:after="160"/>
      </w:pPr>
      <w:r>
        <w:rPr>
          <w:rFonts w:ascii="Arial" w:cs="Arial" w:eastAsia="Arial" w:hAnsi="Arial"/>
          <w:b/>
          <w:bCs/>
          <w:color w:val="1C1917"/>
          <w:sz w:val="22"/>
          <w:szCs w:val="22"/>
        </w:rPr>
        <w:t xml:space="preserve">ROI pitch: </w:t>
      </w:r>
      <w:r>
        <w:rPr>
          <w:rFonts w:ascii="Arial" w:cs="Arial" w:eastAsia="Arial" w:hAnsi="Arial"/>
          <w:color w:val="57534E"/>
          <w:sz w:val="22"/>
          <w:szCs w:val="22"/>
        </w:rPr>
        <w:t xml:space="preserve">At 250,000 lives, even modest improvements compound to enormous numbers. 0.5% RAF improvement = $12–15M. Getting from 3.5 to 4.0 Star Rating = $15–20M in quality bonus payments. $10 PMPM reduction in medical costs = $30M. Present these as the prize, and the platform cost ($6–8M) is a rounding error.</w:t>
      </w:r>
    </w:p>
    <w:p>
      <w:r>
        <w:br w:type="page"/>
      </w:r>
    </w:p>
    <w:p>
      <w:pPr>
        <w:pStyle w:val="Heading1"/>
        <w:spacing w:after="160" w:before="360"/>
      </w:pPr>
      <w:r>
        <w:rPr>
          <w:rFonts w:ascii="Arial" w:cs="Arial" w:eastAsia="Arial" w:hAnsi="Arial"/>
          <w:b/>
          <w:bCs/>
          <w:color w:val="1C1917"/>
          <w:sz w:val="36"/>
          <w:szCs w:val="36"/>
        </w:rPr>
        <w:t xml:space="preserve">5. Go-to-Market Execution Plan</w:t>
      </w:r>
    </w:p>
    <w:p>
      <w:pPr>
        <w:pStyle w:val="Heading2"/>
        <w:spacing w:after="120" w:before="280"/>
      </w:pPr>
      <w:r>
        <w:rPr>
          <w:rFonts w:ascii="Arial" w:cs="Arial" w:eastAsia="Arial" w:hAnsi="Arial"/>
          <w:b/>
          <w:bCs/>
          <w:color w:val="1C1917"/>
          <w:sz w:val="28"/>
          <w:szCs w:val="28"/>
        </w:rPr>
        <w:t xml:space="preserve">Phase 1: Prove It (Months 1–6)</w:t>
      </w:r>
    </w:p>
    <w:p>
      <w:pPr>
        <w:spacing w:after="160"/>
      </w:pPr>
      <w:r>
        <w:rPr>
          <w:rFonts w:ascii="Arial" w:cs="Arial" w:eastAsia="Arial" w:hAnsi="Arial"/>
          <w:b/>
          <w:bCs/>
          <w:color w:val="1C1917"/>
          <w:sz w:val="22"/>
          <w:szCs w:val="22"/>
        </w:rPr>
        <w:t xml:space="preserve">Objective: </w:t>
      </w:r>
      <w:r>
        <w:rPr>
          <w:rFonts w:ascii="Arial" w:cs="Arial" w:eastAsia="Arial" w:hAnsi="Arial"/>
          <w:color w:val="57534E"/>
          <w:sz w:val="22"/>
          <w:szCs w:val="22"/>
        </w:rPr>
        <w:t xml:space="preserve">Validate the platform on your own patient panel and build a credible case study with measurable outcomes.</w:t>
      </w:r>
    </w:p>
    <w:p>
      <w:pPr>
        <w:pStyle w:val="ListParagraph"/>
        <w:numPr>
          <w:ilvl w:val="0"/>
          <w:numId w:val="3"/>
        </w:numPr>
        <w:spacing w:after="80"/>
      </w:pPr>
      <w:r>
        <w:rPr>
          <w:rFonts w:ascii="Arial" w:cs="Arial" w:eastAsia="Arial" w:hAnsi="Arial"/>
          <w:color w:val="57534E"/>
          <w:sz w:val="22"/>
          <w:szCs w:val="22"/>
        </w:rPr>
        <w:t xml:space="preserve">Deploy SNF Admit Assist for all hospitalist encounters at your SNF facilities</w:t>
      </w:r>
    </w:p>
    <w:p>
      <w:pPr>
        <w:pStyle w:val="ListParagraph"/>
        <w:numPr>
          <w:ilvl w:val="0"/>
          <w:numId w:val="3"/>
        </w:numPr>
        <w:spacing w:after="80"/>
      </w:pPr>
      <w:r>
        <w:rPr>
          <w:rFonts w:ascii="Arial" w:cs="Arial" w:eastAsia="Arial" w:hAnsi="Arial"/>
          <w:color w:val="57534E"/>
          <w:sz w:val="22"/>
          <w:szCs w:val="22"/>
        </w:rPr>
        <w:t xml:space="preserve">Run AutoCoder against your existing panel’s claims data to identify baseline vs. captured HCCs</w:t>
      </w:r>
    </w:p>
    <w:p>
      <w:pPr>
        <w:pStyle w:val="ListParagraph"/>
        <w:numPr>
          <w:ilvl w:val="0"/>
          <w:numId w:val="3"/>
        </w:numPr>
        <w:spacing w:after="80"/>
      </w:pPr>
      <w:r>
        <w:rPr>
          <w:rFonts w:ascii="Arial" w:cs="Arial" w:eastAsia="Arial" w:hAnsi="Arial"/>
          <w:color w:val="57534E"/>
          <w:sz w:val="22"/>
          <w:szCs w:val="22"/>
        </w:rPr>
        <w:t xml:space="preserve">Install PCC Chrome Extension v2 at your facilities — test dashboard scraper + smart highlighter</w:t>
      </w:r>
    </w:p>
    <w:p>
      <w:pPr>
        <w:pStyle w:val="ListParagraph"/>
        <w:numPr>
          <w:ilvl w:val="0"/>
          <w:numId w:val="3"/>
        </w:numPr>
        <w:spacing w:after="80"/>
      </w:pPr>
      <w:r>
        <w:rPr>
          <w:rFonts w:ascii="Arial" w:cs="Arial" w:eastAsia="Arial" w:hAnsi="Arial"/>
          <w:color w:val="57534E"/>
          <w:sz w:val="22"/>
          <w:szCs w:val="22"/>
        </w:rPr>
        <w:t xml:space="preserve">Track: time per encounter (before/after), HCCs captured per visit, care gaps closed, denials prevented</w:t>
      </w:r>
    </w:p>
    <w:p>
      <w:pPr>
        <w:pStyle w:val="ListParagraph"/>
        <w:numPr>
          <w:ilvl w:val="0"/>
          <w:numId w:val="3"/>
        </w:numPr>
        <w:spacing w:after="80"/>
      </w:pPr>
      <w:r>
        <w:rPr>
          <w:rFonts w:ascii="Arial" w:cs="Arial" w:eastAsia="Arial" w:hAnsi="Arial"/>
          <w:color w:val="57534E"/>
          <w:sz w:val="22"/>
          <w:szCs w:val="22"/>
        </w:rPr>
        <w:t xml:space="preserve">Document everything for the case study: screenshots, before/after RAF scores, provider testimonials</w:t>
      </w:r>
    </w:p>
    <w:p>
      <w:pPr>
        <w:pStyle w:val="ListParagraph"/>
        <w:numPr>
          <w:ilvl w:val="0"/>
          <w:numId w:val="3"/>
        </w:numPr>
        <w:spacing w:after="80"/>
      </w:pPr>
      <w:r>
        <w:rPr>
          <w:rFonts w:ascii="Arial" w:cs="Arial" w:eastAsia="Arial" w:hAnsi="Arial"/>
          <w:color w:val="57534E"/>
          <w:sz w:val="22"/>
          <w:szCs w:val="22"/>
        </w:rPr>
        <w:t xml:space="preserve">Build the data ingestion pipeline using your own Humana/Aetna plan data as the first real test</w:t>
      </w:r>
    </w:p>
    <w:p>
      <w:pPr>
        <w:spacing w:after="160"/>
      </w:pPr>
      <w:r>
        <w:rPr>
          <w:rFonts w:ascii="Arial" w:cs="Arial" w:eastAsia="Arial" w:hAnsi="Arial"/>
          <w:b/>
          <w:bCs/>
          <w:color w:val="1C1917"/>
          <w:sz w:val="22"/>
          <w:szCs w:val="22"/>
        </w:rPr>
        <w:t xml:space="preserve">Success criteria: </w:t>
      </w:r>
      <w:r>
        <w:rPr>
          <w:rFonts w:ascii="Arial" w:cs="Arial" w:eastAsia="Arial" w:hAnsi="Arial"/>
          <w:color w:val="57534E"/>
          <w:sz w:val="22"/>
          <w:szCs w:val="22"/>
        </w:rPr>
        <w:t xml:space="preserve">Demonstrate 15–25% improvement in HCC capture rate, 30%+ reduction in documentation time, and quantifiable dollar value of RAF uplift within 90 days.</w:t>
      </w:r>
    </w:p>
    <w:p>
      <w:pPr>
        <w:pStyle w:val="Heading2"/>
        <w:spacing w:after="120" w:before="280"/>
      </w:pPr>
      <w:r>
        <w:rPr>
          <w:rFonts w:ascii="Arial" w:cs="Arial" w:eastAsia="Arial" w:hAnsi="Arial"/>
          <w:b/>
          <w:bCs/>
          <w:color w:val="1C1917"/>
          <w:sz w:val="28"/>
          <w:szCs w:val="28"/>
        </w:rPr>
        <w:t xml:space="preserve">Phase 2: Sell It (Months 4–9)</w:t>
      </w:r>
    </w:p>
    <w:p>
      <w:pPr>
        <w:spacing w:after="160"/>
      </w:pPr>
      <w:r>
        <w:rPr>
          <w:rFonts w:ascii="Arial" w:cs="Arial" w:eastAsia="Arial" w:hAnsi="Arial"/>
          <w:b/>
          <w:bCs/>
          <w:color w:val="1C1917"/>
          <w:sz w:val="22"/>
          <w:szCs w:val="22"/>
        </w:rPr>
        <w:t xml:space="preserve">Objective: </w:t>
      </w:r>
      <w:r>
        <w:rPr>
          <w:rFonts w:ascii="Arial" w:cs="Arial" w:eastAsia="Arial" w:hAnsi="Arial"/>
          <w:color w:val="57534E"/>
          <w:sz w:val="22"/>
          <w:szCs w:val="22"/>
        </w:rPr>
        <w:t xml:space="preserve">Close the first external client using pilot outcomes as proof.</w:t>
      </w:r>
    </w:p>
    <w:p>
      <w:pPr>
        <w:pStyle w:val="ListParagraph"/>
        <w:numPr>
          <w:ilvl w:val="0"/>
          <w:numId w:val="4"/>
        </w:numPr>
        <w:spacing w:after="80"/>
      </w:pPr>
      <w:r>
        <w:rPr>
          <w:rFonts w:ascii="Arial" w:cs="Arial" w:eastAsia="Arial" w:hAnsi="Arial"/>
          <w:color w:val="57534E"/>
          <w:sz w:val="22"/>
          <w:szCs w:val="22"/>
        </w:rPr>
        <w:t xml:space="preserve">Approach 15K-life MSO with the retrospective claims analysis offer (free, they provide de-identified data extract)</w:t>
      </w:r>
    </w:p>
    <w:p>
      <w:pPr>
        <w:pStyle w:val="ListParagraph"/>
        <w:numPr>
          <w:ilvl w:val="0"/>
          <w:numId w:val="4"/>
        </w:numPr>
        <w:spacing w:after="80"/>
      </w:pPr>
      <w:r>
        <w:rPr>
          <w:rFonts w:ascii="Arial" w:cs="Arial" w:eastAsia="Arial" w:hAnsi="Arial"/>
          <w:color w:val="57534E"/>
          <w:sz w:val="22"/>
          <w:szCs w:val="22"/>
        </w:rPr>
        <w:t xml:space="preserve">Run AutoCoder + expenditure analytics against their data and present findings</w:t>
      </w:r>
    </w:p>
    <w:p>
      <w:pPr>
        <w:pStyle w:val="ListParagraph"/>
        <w:numPr>
          <w:ilvl w:val="0"/>
          <w:numId w:val="4"/>
        </w:numPr>
        <w:spacing w:after="80"/>
      </w:pPr>
      <w:r>
        <w:rPr>
          <w:rFonts w:ascii="Arial" w:cs="Arial" w:eastAsia="Arial" w:hAnsi="Arial"/>
          <w:color w:val="57534E"/>
          <w:sz w:val="22"/>
          <w:szCs w:val="22"/>
        </w:rPr>
        <w:t xml:space="preserve">Propose 90-day pilot on a subset of their population (one plan, 3–5K lives)</w:t>
      </w:r>
    </w:p>
    <w:p>
      <w:pPr>
        <w:pStyle w:val="ListParagraph"/>
        <w:numPr>
          <w:ilvl w:val="0"/>
          <w:numId w:val="4"/>
        </w:numPr>
        <w:spacing w:after="80"/>
      </w:pPr>
      <w:r>
        <w:rPr>
          <w:rFonts w:ascii="Arial" w:cs="Arial" w:eastAsia="Arial" w:hAnsi="Arial"/>
          <w:color w:val="57534E"/>
          <w:sz w:val="22"/>
          <w:szCs w:val="22"/>
        </w:rPr>
        <w:t xml:space="preserve">Simultaneously reach out to the two smaller MSOs (4K + 2K) with the pilot case study from your own practice</w:t>
      </w:r>
    </w:p>
    <w:p>
      <w:pPr>
        <w:pStyle w:val="ListParagraph"/>
        <w:numPr>
          <w:ilvl w:val="0"/>
          <w:numId w:val="4"/>
        </w:numPr>
        <w:spacing w:after="80"/>
      </w:pPr>
      <w:r>
        <w:rPr>
          <w:rFonts w:ascii="Arial" w:cs="Arial" w:eastAsia="Arial" w:hAnsi="Arial"/>
          <w:color w:val="57534E"/>
          <w:sz w:val="22"/>
          <w:szCs w:val="22"/>
        </w:rPr>
        <w:t xml:space="preserve">Attend 1–2 regional managed care conferences (FLAACOs, local IPA meetings) for visibility</w:t>
      </w:r>
    </w:p>
    <w:p>
      <w:pPr>
        <w:pStyle w:val="ListParagraph"/>
        <w:numPr>
          <w:ilvl w:val="0"/>
          <w:numId w:val="4"/>
        </w:numPr>
        <w:spacing w:after="80"/>
      </w:pPr>
      <w:r>
        <w:rPr>
          <w:rFonts w:ascii="Arial" w:cs="Arial" w:eastAsia="Arial" w:hAnsi="Arial"/>
          <w:color w:val="57534E"/>
          <w:sz w:val="22"/>
          <w:szCs w:val="22"/>
        </w:rPr>
        <w:t xml:space="preserve">Publish case study as a white paper / blog post on AQSoft.AI website</w:t>
      </w:r>
    </w:p>
    <w:p>
      <w:pPr>
        <w:spacing w:after="160"/>
      </w:pPr>
      <w:r>
        <w:rPr>
          <w:rFonts w:ascii="Arial" w:cs="Arial" w:eastAsia="Arial" w:hAnsi="Arial"/>
          <w:b/>
          <w:bCs/>
          <w:color w:val="1C1917"/>
          <w:sz w:val="22"/>
          <w:szCs w:val="22"/>
        </w:rPr>
        <w:t xml:space="preserve">Sales approach: </w:t>
      </w:r>
      <w:r>
        <w:rPr>
          <w:rFonts w:ascii="Arial" w:cs="Arial" w:eastAsia="Arial" w:hAnsi="Arial"/>
          <w:color w:val="57534E"/>
          <w:sz w:val="22"/>
          <w:szCs w:val="22"/>
        </w:rPr>
        <w:t xml:space="preserve">Physician-to-physician selling. You’re a practicing hospitalist who built this because you needed it. That story resonates with physician-led MSOs in a way that a software sales pitch never could. Lead with clinical credibility, follow with technology.</w:t>
      </w:r>
    </w:p>
    <w:p>
      <w:pPr>
        <w:pStyle w:val="Heading2"/>
        <w:spacing w:after="120" w:before="280"/>
      </w:pPr>
      <w:r>
        <w:rPr>
          <w:rFonts w:ascii="Arial" w:cs="Arial" w:eastAsia="Arial" w:hAnsi="Arial"/>
          <w:b/>
          <w:bCs/>
          <w:color w:val="1C1917"/>
          <w:sz w:val="28"/>
          <w:szCs w:val="28"/>
        </w:rPr>
        <w:t xml:space="preserve">Phase 3: Scale It (Months 9–18)</w:t>
      </w:r>
    </w:p>
    <w:p>
      <w:pPr>
        <w:spacing w:after="160"/>
      </w:pPr>
      <w:r>
        <w:rPr>
          <w:rFonts w:ascii="Arial" w:cs="Arial" w:eastAsia="Arial" w:hAnsi="Arial"/>
          <w:b/>
          <w:bCs/>
          <w:color w:val="1C1917"/>
          <w:sz w:val="22"/>
          <w:szCs w:val="22"/>
        </w:rPr>
        <w:t xml:space="preserve">Objective: </w:t>
      </w:r>
      <w:r>
        <w:rPr>
          <w:rFonts w:ascii="Arial" w:cs="Arial" w:eastAsia="Arial" w:hAnsi="Arial"/>
          <w:color w:val="57534E"/>
          <w:sz w:val="22"/>
          <w:szCs w:val="22"/>
        </w:rPr>
        <w:t xml:space="preserve">Expand client base, deepen product capabilities, and build toward enterprise readiness.</w:t>
      </w:r>
    </w:p>
    <w:p>
      <w:pPr>
        <w:pStyle w:val="ListParagraph"/>
        <w:numPr>
          <w:ilvl w:val="0"/>
          <w:numId w:val="5"/>
        </w:numPr>
        <w:spacing w:after="80"/>
      </w:pPr>
      <w:r>
        <w:rPr>
          <w:rFonts w:ascii="Arial" w:cs="Arial" w:eastAsia="Arial" w:hAnsi="Arial"/>
          <w:color w:val="57534E"/>
          <w:sz w:val="22"/>
          <w:szCs w:val="22"/>
        </w:rPr>
        <w:t xml:space="preserve">Convert pilot clients to full contracts with expanded scope (add quality, expenditure, care mgmt modules)</w:t>
      </w:r>
    </w:p>
    <w:p>
      <w:pPr>
        <w:pStyle w:val="ListParagraph"/>
        <w:numPr>
          <w:ilvl w:val="0"/>
          <w:numId w:val="5"/>
        </w:numPr>
        <w:spacing w:after="80"/>
      </w:pPr>
      <w:r>
        <w:rPr>
          <w:rFonts w:ascii="Arial" w:cs="Arial" w:eastAsia="Arial" w:hAnsi="Arial"/>
          <w:color w:val="57534E"/>
          <w:sz w:val="22"/>
          <w:szCs w:val="22"/>
        </w:rPr>
        <w:t xml:space="preserve">Onboard smaller MSOs with the now-proven rapid deployment process</w:t>
      </w:r>
    </w:p>
    <w:p>
      <w:pPr>
        <w:pStyle w:val="ListParagraph"/>
        <w:numPr>
          <w:ilvl w:val="0"/>
          <w:numId w:val="5"/>
        </w:numPr>
        <w:spacing w:after="80"/>
      </w:pPr>
      <w:r>
        <w:rPr>
          <w:rFonts w:ascii="Arial" w:cs="Arial" w:eastAsia="Arial" w:hAnsi="Arial"/>
          <w:color w:val="57534E"/>
          <w:sz w:val="22"/>
          <w:szCs w:val="22"/>
        </w:rPr>
        <w:t xml:space="preserve">Build case studies from external clients (with permission) — concrete ROI numbers</w:t>
      </w:r>
    </w:p>
    <w:p>
      <w:pPr>
        <w:pStyle w:val="ListParagraph"/>
        <w:numPr>
          <w:ilvl w:val="0"/>
          <w:numId w:val="5"/>
        </w:numPr>
        <w:spacing w:after="80"/>
      </w:pPr>
      <w:r>
        <w:rPr>
          <w:rFonts w:ascii="Arial" w:cs="Arial" w:eastAsia="Arial" w:hAnsi="Arial"/>
          <w:color w:val="57534E"/>
          <w:sz w:val="22"/>
          <w:szCs w:val="22"/>
        </w:rPr>
        <w:t xml:space="preserve">Begin enterprise outreach to 250K-life MSO with retrospective analysis offer</w:t>
      </w:r>
    </w:p>
    <w:p>
      <w:pPr>
        <w:pStyle w:val="ListParagraph"/>
        <w:numPr>
          <w:ilvl w:val="0"/>
          <w:numId w:val="5"/>
        </w:numPr>
        <w:spacing w:after="80"/>
      </w:pPr>
      <w:r>
        <w:rPr>
          <w:rFonts w:ascii="Arial" w:cs="Arial" w:eastAsia="Arial" w:hAnsi="Arial"/>
          <w:color w:val="57534E"/>
          <w:sz w:val="22"/>
          <w:szCs w:val="22"/>
        </w:rPr>
        <w:t xml:space="preserve">Hire 1–2 additional engineers to accelerate product development</w:t>
      </w:r>
    </w:p>
    <w:p>
      <w:pPr>
        <w:pStyle w:val="ListParagraph"/>
        <w:numPr>
          <w:ilvl w:val="0"/>
          <w:numId w:val="5"/>
        </w:numPr>
        <w:spacing w:after="80"/>
      </w:pPr>
      <w:r>
        <w:rPr>
          <w:rFonts w:ascii="Arial" w:cs="Arial" w:eastAsia="Arial" w:hAnsi="Arial"/>
          <w:color w:val="57534E"/>
          <w:sz w:val="22"/>
          <w:szCs w:val="22"/>
        </w:rPr>
        <w:t xml:space="preserve">Develop partner channel: billing companies, healthcare consultants, EHR vendors who can resell</w:t>
      </w:r>
    </w:p>
    <w:p>
      <w:pPr>
        <w:pStyle w:val="Heading2"/>
        <w:spacing w:after="120" w:before="280"/>
      </w:pPr>
      <w:r>
        <w:rPr>
          <w:rFonts w:ascii="Arial" w:cs="Arial" w:eastAsia="Arial" w:hAnsi="Arial"/>
          <w:b/>
          <w:bCs/>
          <w:color w:val="1C1917"/>
          <w:sz w:val="28"/>
          <w:szCs w:val="28"/>
        </w:rPr>
        <w:t xml:space="preserve">Phase 4: Enterprise (Months 18–24)</w:t>
      </w:r>
    </w:p>
    <w:p>
      <w:pPr>
        <w:spacing w:after="160"/>
      </w:pPr>
      <w:r>
        <w:rPr>
          <w:rFonts w:ascii="Arial" w:cs="Arial" w:eastAsia="Arial" w:hAnsi="Arial"/>
          <w:b/>
          <w:bCs/>
          <w:color w:val="1C1917"/>
          <w:sz w:val="22"/>
          <w:szCs w:val="22"/>
        </w:rPr>
        <w:t xml:space="preserve">Objective: </w:t>
      </w:r>
      <w:r>
        <w:rPr>
          <w:rFonts w:ascii="Arial" w:cs="Arial" w:eastAsia="Arial" w:hAnsi="Arial"/>
          <w:color w:val="57534E"/>
          <w:sz w:val="22"/>
          <w:szCs w:val="22"/>
        </w:rPr>
        <w:t xml:space="preserve">Close enterprise deal, establish market position, and begin geographic expansion.</w:t>
      </w:r>
    </w:p>
    <w:p>
      <w:pPr>
        <w:pStyle w:val="ListParagraph"/>
        <w:numPr>
          <w:ilvl w:val="0"/>
          <w:numId w:val="6"/>
        </w:numPr>
        <w:spacing w:after="80"/>
      </w:pPr>
      <w:r>
        <w:rPr>
          <w:rFonts w:ascii="Arial" w:cs="Arial" w:eastAsia="Arial" w:hAnsi="Arial"/>
          <w:color w:val="57534E"/>
          <w:sz w:val="22"/>
          <w:szCs w:val="22"/>
        </w:rPr>
        <w:t xml:space="preserve">Execute enterprise pilot with 250K-life MSO (subset of their population)</w:t>
      </w:r>
    </w:p>
    <w:p>
      <w:pPr>
        <w:pStyle w:val="ListParagraph"/>
        <w:numPr>
          <w:ilvl w:val="0"/>
          <w:numId w:val="6"/>
        </w:numPr>
        <w:spacing w:after="80"/>
      </w:pPr>
      <w:r>
        <w:rPr>
          <w:rFonts w:ascii="Arial" w:cs="Arial" w:eastAsia="Arial" w:hAnsi="Arial"/>
          <w:color w:val="57534E"/>
          <w:sz w:val="22"/>
          <w:szCs w:val="22"/>
        </w:rPr>
        <w:t xml:space="preserve">Pass security audit / HITRUST assessment required for enterprise clients</w:t>
      </w:r>
    </w:p>
    <w:p>
      <w:pPr>
        <w:pStyle w:val="ListParagraph"/>
        <w:numPr>
          <w:ilvl w:val="0"/>
          <w:numId w:val="6"/>
        </w:numPr>
        <w:spacing w:after="80"/>
      </w:pPr>
      <w:r>
        <w:rPr>
          <w:rFonts w:ascii="Arial" w:cs="Arial" w:eastAsia="Arial" w:hAnsi="Arial"/>
          <w:color w:val="57534E"/>
          <w:sz w:val="22"/>
          <w:szCs w:val="22"/>
        </w:rPr>
        <w:t xml:space="preserve">Build multi-tenant infrastructure for concurrent client deployments</w:t>
      </w:r>
    </w:p>
    <w:p>
      <w:pPr>
        <w:pStyle w:val="ListParagraph"/>
        <w:numPr>
          <w:ilvl w:val="0"/>
          <w:numId w:val="6"/>
        </w:numPr>
        <w:spacing w:after="80"/>
      </w:pPr>
      <w:r>
        <w:rPr>
          <w:rFonts w:ascii="Arial" w:cs="Arial" w:eastAsia="Arial" w:hAnsi="Arial"/>
          <w:color w:val="57534E"/>
          <w:sz w:val="22"/>
          <w:szCs w:val="22"/>
        </w:rPr>
        <w:t xml:space="preserve">Explore expansion beyond Florida — California, Texas, New York MSO markets</w:t>
      </w:r>
    </w:p>
    <w:p>
      <w:pPr>
        <w:pStyle w:val="ListParagraph"/>
        <w:numPr>
          <w:ilvl w:val="0"/>
          <w:numId w:val="6"/>
        </w:numPr>
        <w:spacing w:after="80"/>
      </w:pPr>
      <w:r>
        <w:rPr>
          <w:rFonts w:ascii="Arial" w:cs="Arial" w:eastAsia="Arial" w:hAnsi="Arial"/>
          <w:color w:val="57534E"/>
          <w:sz w:val="22"/>
          <w:szCs w:val="22"/>
        </w:rPr>
        <w:t xml:space="preserve">Consider strategic partnerships: clearinghouses (Availity), health plan data teams</w:t>
      </w:r>
    </w:p>
    <w:p>
      <w:pPr>
        <w:pStyle w:val="ListParagraph"/>
        <w:numPr>
          <w:ilvl w:val="0"/>
          <w:numId w:val="6"/>
        </w:numPr>
        <w:spacing w:after="80"/>
      </w:pPr>
      <w:r>
        <w:rPr>
          <w:rFonts w:ascii="Arial" w:cs="Arial" w:eastAsia="Arial" w:hAnsi="Arial"/>
          <w:color w:val="57534E"/>
          <w:sz w:val="22"/>
          <w:szCs w:val="22"/>
        </w:rPr>
        <w:t xml:space="preserve">Evaluate Series A fundraise if growth trajectory warrants acceleration</w:t>
      </w:r>
    </w:p>
    <w:p>
      <w:r>
        <w:br w:type="page"/>
      </w:r>
    </w:p>
    <w:p>
      <w:pPr>
        <w:pStyle w:val="Heading1"/>
        <w:spacing w:after="160" w:before="360"/>
      </w:pPr>
      <w:r>
        <w:rPr>
          <w:rFonts w:ascii="Arial" w:cs="Arial" w:eastAsia="Arial" w:hAnsi="Arial"/>
          <w:b/>
          <w:bCs/>
          <w:color w:val="1C1917"/>
          <w:sz w:val="36"/>
          <w:szCs w:val="36"/>
        </w:rPr>
        <w:t xml:space="preserve">6. Sales Playbook</w:t>
      </w:r>
    </w:p>
    <w:p>
      <w:pPr>
        <w:pStyle w:val="Heading2"/>
        <w:spacing w:after="120" w:before="280"/>
      </w:pPr>
      <w:r>
        <w:rPr>
          <w:rFonts w:ascii="Arial" w:cs="Arial" w:eastAsia="Arial" w:hAnsi="Arial"/>
          <w:b/>
          <w:bCs/>
          <w:color w:val="1C1917"/>
          <w:sz w:val="28"/>
          <w:szCs w:val="28"/>
        </w:rPr>
        <w:t xml:space="preserve">The “Free Retrospective Analysis” Offer</w:t>
      </w:r>
    </w:p>
    <w:p>
      <w:pPr>
        <w:spacing w:after="160"/>
      </w:pPr>
      <w:r>
        <w:rPr>
          <w:rFonts w:ascii="Arial" w:cs="Arial" w:eastAsia="Arial" w:hAnsi="Arial"/>
          <w:color w:val="57534E"/>
          <w:sz w:val="22"/>
          <w:szCs w:val="22"/>
        </w:rPr>
        <w:t xml:space="preserve">This is the primary sales tool. It costs the prospect nothing, gives them immediate value, and creates a natural conversion opportunity.</w:t>
      </w:r>
    </w:p>
    <w:p>
      <w:pPr>
        <w:pStyle w:val="ListParagraph"/>
        <w:numPr>
          <w:ilvl w:val="0"/>
          <w:numId w:val="7"/>
        </w:numPr>
        <w:spacing w:after="80"/>
      </w:pPr>
      <w:r>
        <w:rPr>
          <w:rFonts w:ascii="Arial" w:cs="Arial" w:eastAsia="Arial" w:hAnsi="Arial"/>
          <w:color w:val="57534E"/>
          <w:sz w:val="22"/>
          <w:szCs w:val="22"/>
        </w:rPr>
        <w:t xml:space="preserve">Ask for a 12-month claims data extract (de-identified is fine — use redact.health if needed)</w:t>
      </w:r>
    </w:p>
    <w:p>
      <w:pPr>
        <w:pStyle w:val="ListParagraph"/>
        <w:numPr>
          <w:ilvl w:val="0"/>
          <w:numId w:val="7"/>
        </w:numPr>
        <w:spacing w:after="80"/>
      </w:pPr>
      <w:r>
        <w:rPr>
          <w:rFonts w:ascii="Arial" w:cs="Arial" w:eastAsia="Arial" w:hAnsi="Arial"/>
          <w:color w:val="57534E"/>
          <w:sz w:val="22"/>
          <w:szCs w:val="22"/>
        </w:rPr>
        <w:t xml:space="preserve">Run AutoCoder against every ICD-10 code in their claims to identify: codes that should have been more specific, medications without supporting diagnoses, lab values suggesting undocumented conditions, HCC recapture opportunities from prior year</w:t>
      </w:r>
    </w:p>
    <w:p>
      <w:pPr>
        <w:pStyle w:val="ListParagraph"/>
        <w:numPr>
          <w:ilvl w:val="0"/>
          <w:numId w:val="7"/>
        </w:numPr>
        <w:spacing w:after="80"/>
      </w:pPr>
      <w:r>
        <w:rPr>
          <w:rFonts w:ascii="Arial" w:cs="Arial" w:eastAsia="Arial" w:hAnsi="Arial"/>
          <w:color w:val="57534E"/>
          <w:sz w:val="22"/>
          <w:szCs w:val="22"/>
        </w:rPr>
        <w:t xml:space="preserve">Run expenditure analytics to identify: facilities with above-benchmark costs, avoidable admissions/readmissions, pharmacy optimization opportunities, specialist utilization outliers</w:t>
      </w:r>
    </w:p>
    <w:p>
      <w:pPr>
        <w:pStyle w:val="ListParagraph"/>
        <w:numPr>
          <w:ilvl w:val="0"/>
          <w:numId w:val="7"/>
        </w:numPr>
        <w:spacing w:after="80"/>
      </w:pPr>
      <w:r>
        <w:rPr>
          <w:rFonts w:ascii="Arial" w:cs="Arial" w:eastAsia="Arial" w:hAnsi="Arial"/>
          <w:color w:val="57534E"/>
          <w:sz w:val="22"/>
          <w:szCs w:val="22"/>
        </w:rPr>
        <w:t xml:space="preserve">Package findings in a 10-page report showing: total missed HCC revenue (dollar amount), total cost optimization opportunities (dollar amount), specific actionable recommendations</w:t>
      </w:r>
    </w:p>
    <w:p>
      <w:pPr>
        <w:pStyle w:val="ListParagraph"/>
        <w:numPr>
          <w:ilvl w:val="0"/>
          <w:numId w:val="7"/>
        </w:numPr>
        <w:spacing w:after="80"/>
      </w:pPr>
      <w:r>
        <w:rPr>
          <w:rFonts w:ascii="Arial" w:cs="Arial" w:eastAsia="Arial" w:hAnsi="Arial"/>
          <w:color w:val="57534E"/>
          <w:sz w:val="22"/>
          <w:szCs w:val="22"/>
        </w:rPr>
        <w:t xml:space="preserve">Present to the MSO leadership team. The report itself is the sales pitch.</w:t>
      </w:r>
    </w:p>
    <w:p>
      <w:pPr>
        <w:spacing w:after="160"/>
      </w:pPr>
      <w:r>
        <w:rPr>
          <w:rFonts w:ascii="Arial" w:cs="Arial" w:eastAsia="Arial" w:hAnsi="Arial"/>
          <w:b/>
          <w:bCs/>
          <w:color w:val="1C1917"/>
          <w:sz w:val="22"/>
          <w:szCs w:val="22"/>
        </w:rPr>
        <w:t xml:space="preserve">Conversion rate expectation: </w:t>
      </w:r>
      <w:r>
        <w:rPr>
          <w:rFonts w:ascii="Arial" w:cs="Arial" w:eastAsia="Arial" w:hAnsi="Arial"/>
          <w:color w:val="57534E"/>
          <w:sz w:val="22"/>
          <w:szCs w:val="22"/>
        </w:rPr>
        <w:t xml:space="preserve">If the analysis shows $500K+ in missed revenue or cost savings opportunities, the prospect should convert to a paid pilot. Target 40–60% conversion from analysis to pilot, and 70–80% from pilot to full contract.</w:t>
      </w:r>
    </w:p>
    <w:p>
      <w:pPr>
        <w:pStyle w:val="Heading2"/>
        <w:spacing w:after="120" w:before="280"/>
      </w:pPr>
      <w:r>
        <w:rPr>
          <w:rFonts w:ascii="Arial" w:cs="Arial" w:eastAsia="Arial" w:hAnsi="Arial"/>
          <w:b/>
          <w:bCs/>
          <w:color w:val="1C1917"/>
          <w:sz w:val="28"/>
          <w:szCs w:val="28"/>
        </w:rPr>
        <w:t xml:space="preserve">Pricing Strategy</w:t>
      </w:r>
    </w:p>
    <w:p>
      <w:pPr>
        <w:spacing w:after="160"/>
      </w:pPr>
      <w:r>
        <w:rPr>
          <w:rFonts w:ascii="Arial" w:cs="Arial" w:eastAsia="Arial" w:hAnsi="Arial"/>
          <w:color w:val="57534E"/>
          <w:sz w:val="22"/>
          <w:szCs w:val="22"/>
        </w:rPr>
        <w:t xml:space="preserve">Start with simple PMPM pricing for small/mid MSOs. Layer in per-capture and revenue share for larger clients. Never discount the base PMPM below $2 — it anchors the value perception.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3360"/>
      </w:tblGrid>
      <w:tr>
        <w:tc>
          <w:tcPr>
            <w:tcW w:type="dxa" w:w="18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Client Size</w:t>
            </w:r>
          </w:p>
        </w:tc>
        <w:tc>
          <w:tcPr>
            <w:tcW w:type="dxa" w:w="14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Base PMPM</w:t>
            </w:r>
          </w:p>
        </w:tc>
        <w:tc>
          <w:tcPr>
            <w:tcW w:type="dxa" w:w="14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Per-Capture</w:t>
            </w:r>
          </w:p>
        </w:tc>
        <w:tc>
          <w:tcPr>
            <w:tcW w:type="dxa" w:w="14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Revenue Share</w:t>
            </w:r>
          </w:p>
        </w:tc>
        <w:tc>
          <w:tcPr>
            <w:tcW w:type="dxa" w:w="336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Notes</w:t>
            </w:r>
          </w:p>
        </w:tc>
      </w:tr>
      <w:tr>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Small (&lt;5K lives)</w:t>
            </w:r>
          </w:p>
        </w:tc>
        <w:tc>
          <w:tcPr>
            <w:tcW w:type="dxa" w:w="1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$3–4</w:t>
            </w:r>
          </w:p>
        </w:tc>
        <w:tc>
          <w:tcPr>
            <w:tcW w:type="dxa" w:w="1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$20–25</w:t>
            </w:r>
          </w:p>
        </w:tc>
        <w:tc>
          <w:tcPr>
            <w:tcW w:type="dxa" w:w="1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Optional</w:t>
            </w:r>
          </w:p>
        </w:tc>
        <w:tc>
          <w:tcPr>
            <w:tcW w:type="dxa" w:w="3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Simple flat rate preferred</w:t>
            </w:r>
          </w:p>
        </w:tc>
      </w:tr>
      <w:tr>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Mid (5–30K)</w:t>
            </w:r>
          </w:p>
        </w:tc>
        <w:tc>
          <w:tcPr>
            <w:tcW w:type="dxa" w:w="1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$2.50–3.50</w:t>
            </w:r>
          </w:p>
        </w:tc>
        <w:tc>
          <w:tcPr>
            <w:tcW w:type="dxa" w:w="1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$15–20</w:t>
            </w:r>
          </w:p>
        </w:tc>
        <w:tc>
          <w:tcPr>
            <w:tcW w:type="dxa" w:w="1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8–10%</w:t>
            </w:r>
          </w:p>
        </w:tc>
        <w:tc>
          <w:tcPr>
            <w:tcW w:type="dxa" w:w="3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Volume discount on PMPM</w:t>
            </w:r>
          </w:p>
        </w:tc>
      </w:tr>
      <w:tr>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Enterprise (30K+)</w:t>
            </w:r>
          </w:p>
        </w:tc>
        <w:tc>
          <w:tcPr>
            <w:tcW w:type="dxa" w:w="1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$2–3</w:t>
            </w:r>
          </w:p>
        </w:tc>
        <w:tc>
          <w:tcPr>
            <w:tcW w:type="dxa" w:w="1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$15</w:t>
            </w:r>
          </w:p>
        </w:tc>
        <w:tc>
          <w:tcPr>
            <w:tcW w:type="dxa" w:w="1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10–12%</w:t>
            </w:r>
          </w:p>
        </w:tc>
        <w:tc>
          <w:tcPr>
            <w:tcW w:type="dxa" w:w="3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Custom terms, performance guarantees</w:t>
            </w:r>
          </w:p>
        </w:tc>
      </w:tr>
    </w:tbl>
    <w:p>
      <w:pPr>
        <w:pStyle w:val="Heading2"/>
        <w:spacing w:after="120" w:before="280"/>
      </w:pPr>
      <w:r>
        <w:rPr>
          <w:rFonts w:ascii="Arial" w:cs="Arial" w:eastAsia="Arial" w:hAnsi="Arial"/>
          <w:b/>
          <w:bCs/>
          <w:color w:val="1C1917"/>
          <w:sz w:val="28"/>
          <w:szCs w:val="28"/>
        </w:rPr>
        <w:t xml:space="preserve">Key Objections &amp; Responses</w:t>
      </w:r>
    </w:p>
    <w:p>
      <w:pPr>
        <w:spacing w:after="160"/>
      </w:pPr>
      <w:r>
        <w:rPr>
          <w:rFonts w:ascii="Arial" w:cs="Arial" w:eastAsia="Arial" w:hAnsi="Arial"/>
          <w:b/>
          <w:bCs/>
          <w:color w:val="1C1917"/>
          <w:sz w:val="22"/>
          <w:szCs w:val="22"/>
        </w:rPr>
        <w:t xml:space="preserve">"We already have Vatica/Episource/Cotiviti." </w:t>
      </w:r>
      <w:r>
        <w:rPr>
          <w:rFonts w:ascii="Arial" w:cs="Arial" w:eastAsia="Arial" w:hAnsi="Arial"/>
          <w:color w:val="57534E"/>
          <w:sz w:val="22"/>
          <w:szCs w:val="22"/>
        </w:rPr>
        <w:t xml:space="preserve">Those are retrospective chart review services requiring embedded staff or mailed charts. We capture HCCs prospectively at the point of care during the actual encounter. The codes are captured before the patient leaves, not 6 months later. And we do it without adding headcount to your team.</w:t>
      </w:r>
    </w:p>
    <w:p>
      <w:pPr>
        <w:spacing w:after="160"/>
      </w:pPr>
      <w:r>
        <w:rPr>
          <w:rFonts w:ascii="Arial" w:cs="Arial" w:eastAsia="Arial" w:hAnsi="Arial"/>
          <w:b/>
          <w:bCs/>
          <w:color w:val="1C1917"/>
          <w:sz w:val="22"/>
          <w:szCs w:val="22"/>
        </w:rPr>
        <w:t xml:space="preserve">"We’re too small for a platform like this." </w:t>
      </w:r>
      <w:r>
        <w:rPr>
          <w:rFonts w:ascii="Arial" w:cs="Arial" w:eastAsia="Arial" w:hAnsi="Arial"/>
          <w:color w:val="57534E"/>
          <w:sz w:val="22"/>
          <w:szCs w:val="22"/>
        </w:rPr>
        <w:t xml:space="preserve">That’s exactly why you need it. A 20-person MSO can’t afford a dedicated analytics team, a quality director, and a care management platform. Our platform gives you all three for less than the cost of one FTE.</w:t>
      </w:r>
    </w:p>
    <w:p>
      <w:pPr>
        <w:spacing w:after="160"/>
      </w:pPr>
      <w:r>
        <w:rPr>
          <w:rFonts w:ascii="Arial" w:cs="Arial" w:eastAsia="Arial" w:hAnsi="Arial"/>
          <w:b/>
          <w:bCs/>
          <w:color w:val="1C1917"/>
          <w:sz w:val="22"/>
          <w:szCs w:val="22"/>
        </w:rPr>
        <w:t xml:space="preserve">"Can it integrate with our existing EMR?" </w:t>
      </w:r>
      <w:r>
        <w:rPr>
          <w:rFonts w:ascii="Arial" w:cs="Arial" w:eastAsia="Arial" w:hAnsi="Arial"/>
          <w:color w:val="57534E"/>
          <w:sz w:val="22"/>
          <w:szCs w:val="22"/>
        </w:rPr>
        <w:t xml:space="preserve">Yes. We overlay on Epic, Cerner, athena via FHIR, and on PointClickCare via Chrome extension. Your providers don’t change their workflow — the intelligence surfaces alongside what they’re already doing.</w:t>
      </w:r>
    </w:p>
    <w:p>
      <w:pPr>
        <w:spacing w:after="160"/>
      </w:pPr>
      <w:r>
        <w:rPr>
          <w:rFonts w:ascii="Arial" w:cs="Arial" w:eastAsia="Arial" w:hAnsi="Arial"/>
          <w:b/>
          <w:bCs/>
          <w:color w:val="1C1917"/>
          <w:sz w:val="22"/>
          <w:szCs w:val="22"/>
        </w:rPr>
        <w:t xml:space="preserve">"What about HIPAA/security?" </w:t>
      </w:r>
      <w:r>
        <w:rPr>
          <w:rFonts w:ascii="Arial" w:cs="Arial" w:eastAsia="Arial" w:hAnsi="Arial"/>
          <w:color w:val="57534E"/>
          <w:sz w:val="22"/>
          <w:szCs w:val="22"/>
        </w:rPr>
        <w:t xml:space="preserve">We’re built on OpenEMR, which has been HIPAA-certified for 15+ years. PHI de-identification is handled by our redact.health pipeline. We execute BAAs with every client. Annual penetration testing. SOC 2 Type II in our roadmap.</w:t>
      </w:r>
    </w:p>
    <w:p>
      <w:pPr>
        <w:spacing w:after="160"/>
      </w:pPr>
      <w:r>
        <w:rPr>
          <w:rFonts w:ascii="Arial" w:cs="Arial" w:eastAsia="Arial" w:hAnsi="Arial"/>
          <w:b/>
          <w:bCs/>
          <w:color w:val="1C1917"/>
          <w:sz w:val="22"/>
          <w:szCs w:val="22"/>
        </w:rPr>
        <w:t xml:space="preserve">"How is this different from what our health plan provides?" </w:t>
      </w:r>
      <w:r>
        <w:rPr>
          <w:rFonts w:ascii="Arial" w:cs="Arial" w:eastAsia="Arial" w:hAnsi="Arial"/>
          <w:color w:val="57534E"/>
          <w:sz w:val="22"/>
          <w:szCs w:val="22"/>
        </w:rPr>
        <w:t xml:space="preserve">Your health plan sends you suspect lists once a quarter. We surface suspects in real-time during the encounter, with clinical evidence, and capture them before the visit ends. We also give you the expenditure and quality analytics your health plan has but won’t share at the provider level.</w:t>
      </w:r>
    </w:p>
    <w:p>
      <w:r>
        <w:br w:type="page"/>
      </w:r>
    </w:p>
    <w:p>
      <w:pPr>
        <w:pStyle w:val="Heading1"/>
        <w:spacing w:after="160" w:before="360"/>
      </w:pPr>
      <w:r>
        <w:rPr>
          <w:rFonts w:ascii="Arial" w:cs="Arial" w:eastAsia="Arial" w:hAnsi="Arial"/>
          <w:b/>
          <w:bCs/>
          <w:color w:val="1C1917"/>
          <w:sz w:val="36"/>
          <w:szCs w:val="36"/>
        </w:rPr>
        <w:t xml:space="preserve">7. Building the Competitive Moat</w:t>
      </w:r>
    </w:p>
    <w:p>
      <w:pPr>
        <w:pStyle w:val="Heading2"/>
        <w:spacing w:after="120" w:before="280"/>
      </w:pPr>
      <w:r>
        <w:rPr>
          <w:rFonts w:ascii="Arial" w:cs="Arial" w:eastAsia="Arial" w:hAnsi="Arial"/>
          <w:b/>
          <w:bCs/>
          <w:color w:val="1C1917"/>
          <w:sz w:val="28"/>
          <w:szCs w:val="28"/>
        </w:rPr>
        <w:t xml:space="preserve">Data Network Effects</w:t>
      </w:r>
    </w:p>
    <w:p>
      <w:pPr>
        <w:spacing w:after="160"/>
      </w:pPr>
      <w:r>
        <w:rPr>
          <w:rFonts w:ascii="Arial" w:cs="Arial" w:eastAsia="Arial" w:hAnsi="Arial"/>
          <w:color w:val="57534E"/>
          <w:sz w:val="22"/>
          <w:szCs w:val="22"/>
        </w:rPr>
        <w:t xml:space="preserve">Every encounter processed through the platform improves the AI models. Every MSO’s data (de-identified) strengthens the coding accuracy, expenditure benchmarks, and quality measure algorithms. Client #5 benefits from everything learned from clients #1–4. This creates a compounding advantage that new entrants cannot replicate without equivalent data volume.</w:t>
      </w:r>
    </w:p>
    <w:p>
      <w:pPr>
        <w:pStyle w:val="Heading2"/>
        <w:spacing w:after="120" w:before="280"/>
      </w:pPr>
      <w:r>
        <w:rPr>
          <w:rFonts w:ascii="Arial" w:cs="Arial" w:eastAsia="Arial" w:hAnsi="Arial"/>
          <w:b/>
          <w:bCs/>
          <w:color w:val="1C1917"/>
          <w:sz w:val="28"/>
          <w:szCs w:val="28"/>
        </w:rPr>
        <w:t xml:space="preserve">Clinical Credibility</w:t>
      </w:r>
    </w:p>
    <w:p>
      <w:pPr>
        <w:spacing w:after="160"/>
      </w:pPr>
      <w:r>
        <w:rPr>
          <w:rFonts w:ascii="Arial" w:cs="Arial" w:eastAsia="Arial" w:hAnsi="Arial"/>
          <w:color w:val="57534E"/>
          <w:sz w:val="22"/>
          <w:szCs w:val="22"/>
        </w:rPr>
        <w:t xml:space="preserve">You are a practicing hospitalist who built this tool because you needed it. That’s a story no enterprise software company can tell. Physician-founded, physician-tested, physician-validated. This matters enormously in a market where provider trust is the #1 adoption barrier (Navina cites their 86% usage rate as a key differentiator — it’s because physicians trust the tool).</w:t>
      </w:r>
    </w:p>
    <w:p>
      <w:pPr>
        <w:pStyle w:val="Heading2"/>
        <w:spacing w:after="120" w:before="280"/>
      </w:pPr>
      <w:r>
        <w:rPr>
          <w:rFonts w:ascii="Arial" w:cs="Arial" w:eastAsia="Arial" w:hAnsi="Arial"/>
          <w:b/>
          <w:bCs/>
          <w:color w:val="1C1917"/>
          <w:sz w:val="28"/>
          <w:szCs w:val="28"/>
        </w:rPr>
        <w:t xml:space="preserve">SNF/Post-Acute Specialization</w:t>
      </w:r>
    </w:p>
    <w:p>
      <w:pPr>
        <w:spacing w:after="160"/>
      </w:pPr>
      <w:r>
        <w:rPr>
          <w:rFonts w:ascii="Arial" w:cs="Arial" w:eastAsia="Arial" w:hAnsi="Arial"/>
          <w:color w:val="57534E"/>
          <w:sz w:val="22"/>
          <w:szCs w:val="22"/>
        </w:rPr>
        <w:t xml:space="preserve">No competitor has a post-acute pipeline. Navina focuses on primary care. Arcadia focuses on health systems. Nobody is ingesting MDS assessments, scraping PCC dashboards, compiling SNF admission notes, and running HCC capture at the post-acute point of care. This is a wedge product that creates a beachhead in a market segment nobody else serves.</w:t>
      </w:r>
    </w:p>
    <w:p>
      <w:pPr>
        <w:pStyle w:val="Heading2"/>
        <w:spacing w:after="120" w:before="280"/>
      </w:pPr>
      <w:r>
        <w:rPr>
          <w:rFonts w:ascii="Arial" w:cs="Arial" w:eastAsia="Arial" w:hAnsi="Arial"/>
          <w:b/>
          <w:bCs/>
          <w:color w:val="1C1917"/>
          <w:sz w:val="28"/>
          <w:szCs w:val="28"/>
        </w:rPr>
        <w:t xml:space="preserve">Open-Source Base</w:t>
      </w:r>
    </w:p>
    <w:p>
      <w:pPr>
        <w:spacing w:after="160"/>
      </w:pPr>
      <w:r>
        <w:rPr>
          <w:rFonts w:ascii="Arial" w:cs="Arial" w:eastAsia="Arial" w:hAnsi="Arial"/>
          <w:color w:val="57534E"/>
          <w:sz w:val="22"/>
          <w:szCs w:val="22"/>
        </w:rPr>
        <w:t xml:space="preserve">OpenEMR’s GPL license means no vendor lock-in, transparent code, and community trust. In enterprise sales, “you can audit our code” is a powerful statement. It also means we can adapt faster than proprietary competitors — no legacy architecture constraints.</w:t>
      </w:r>
    </w:p>
    <w:p>
      <w:pPr>
        <w:pStyle w:val="Heading2"/>
        <w:spacing w:after="120" w:before="280"/>
      </w:pPr>
      <w:r>
        <w:rPr>
          <w:rFonts w:ascii="Arial" w:cs="Arial" w:eastAsia="Arial" w:hAnsi="Arial"/>
          <w:b/>
          <w:bCs/>
          <w:color w:val="1C1917"/>
          <w:sz w:val="28"/>
          <w:szCs w:val="28"/>
        </w:rPr>
        <w:t xml:space="preserve">Switching Costs</w:t>
      </w:r>
    </w:p>
    <w:p>
      <w:pPr>
        <w:spacing w:after="160"/>
      </w:pPr>
      <w:r>
        <w:rPr>
          <w:rFonts w:ascii="Arial" w:cs="Arial" w:eastAsia="Arial" w:hAnsi="Arial"/>
          <w:color w:val="57534E"/>
          <w:sz w:val="22"/>
          <w:szCs w:val="22"/>
        </w:rPr>
        <w:t xml:space="preserve">Once an MSO’s data flows through the platform, their care managers work in it daily, and their providers use it for encounters, switching costs become very high. The platform becomes the operational backbone — not a nice-to-have analytics tool, but the system their team can’t work without.</w:t>
      </w:r>
    </w:p>
    <w:p>
      <w:r>
        <w:br w:type="page"/>
      </w:r>
    </w:p>
    <w:p>
      <w:pPr>
        <w:pStyle w:val="Heading1"/>
        <w:spacing w:after="160" w:before="360"/>
      </w:pPr>
      <w:r>
        <w:rPr>
          <w:rFonts w:ascii="Arial" w:cs="Arial" w:eastAsia="Arial" w:hAnsi="Arial"/>
          <w:b/>
          <w:bCs/>
          <w:color w:val="1C1917"/>
          <w:sz w:val="36"/>
          <w:szCs w:val="36"/>
        </w:rPr>
        <w:t xml:space="preserve">8. Key Milestones &amp;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Milestone</w:t>
            </w:r>
          </w:p>
        </w:tc>
        <w:tc>
          <w:tcPr>
            <w:tcW w:type="dxa" w:w="18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Target Date</w:t>
            </w:r>
          </w:p>
        </w:tc>
        <w:tc>
          <w:tcPr>
            <w:tcW w:type="dxa" w:w="436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Success Metric</w:t>
            </w:r>
          </w:p>
        </w:tc>
      </w:tr>
      <w:tr>
        <w:tc>
          <w:tcPr>
            <w:tcW w:type="dxa" w:w="3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SNF Admit Assist deployed on own panel</w:t>
            </w:r>
          </w:p>
        </w:tc>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Month 1</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10+ encounters processed</w:t>
            </w:r>
          </w:p>
        </w:tc>
      </w:tr>
      <w:tr>
        <w:tc>
          <w:tcPr>
            <w:tcW w:type="dxa" w:w="3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PCC Extension v2 live</w:t>
            </w:r>
          </w:p>
        </w:tc>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Month 2</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Dashboard scraping working on real PCC</w:t>
            </w:r>
          </w:p>
        </w:tc>
      </w:tr>
      <w:tr>
        <w:tc>
          <w:tcPr>
            <w:tcW w:type="dxa" w:w="3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Own panel case study complete</w:t>
            </w:r>
          </w:p>
        </w:tc>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Month 6</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15%+ HCC capture improvement documented</w:t>
            </w:r>
          </w:p>
        </w:tc>
      </w:tr>
      <w:tr>
        <w:tc>
          <w:tcPr>
            <w:tcW w:type="dxa" w:w="3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First external client pilot launched</w:t>
            </w:r>
          </w:p>
        </w:tc>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Month 7–9</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Signed LOI / pilot agreement</w:t>
            </w:r>
          </w:p>
        </w:tc>
      </w:tr>
      <w:tr>
        <w:tc>
          <w:tcPr>
            <w:tcW w:type="dxa" w:w="3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First external client full contract</w:t>
            </w:r>
          </w:p>
        </w:tc>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Month 10–12</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$300K+ ACV contract signed</w:t>
            </w:r>
          </w:p>
        </w:tc>
      </w:tr>
      <w:tr>
        <w:tc>
          <w:tcPr>
            <w:tcW w:type="dxa" w:w="3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3 paying clients</w:t>
            </w:r>
          </w:p>
        </w:tc>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Month 14–16</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$500K+ run-rate ARR</w:t>
            </w:r>
          </w:p>
        </w:tc>
      </w:tr>
      <w:tr>
        <w:tc>
          <w:tcPr>
            <w:tcW w:type="dxa" w:w="3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Enterprise pilot initiated</w:t>
            </w:r>
          </w:p>
        </w:tc>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Month 18–20</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250K-life MSO engaged</w:t>
            </w:r>
          </w:p>
        </w:tc>
      </w:tr>
      <w:tr>
        <w:tc>
          <w:tcPr>
            <w:tcW w:type="dxa" w:w="3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Breakeven achieved</w:t>
            </w:r>
          </w:p>
        </w:tc>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Month 18–22</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Monthly revenue &gt; monthly burn</w:t>
            </w:r>
          </w:p>
        </w:tc>
      </w:tr>
      <w:tr>
        <w:tc>
          <w:tcPr>
            <w:tcW w:type="dxa" w:w="3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$2M ARR</w:t>
            </w:r>
          </w:p>
        </w:tc>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Month 22–24</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5+ clients, 50K+ lives</w:t>
            </w:r>
          </w:p>
        </w:tc>
      </w:tr>
    </w:tbl>
    <w:p>
      <w:r>
        <w:br w:type="page"/>
      </w:r>
    </w:p>
    <w:p>
      <w:pPr>
        <w:pStyle w:val="Heading1"/>
        <w:spacing w:after="160" w:before="360"/>
      </w:pPr>
      <w:r>
        <w:rPr>
          <w:rFonts w:ascii="Arial" w:cs="Arial" w:eastAsia="Arial" w:hAnsi="Arial"/>
          <w:b/>
          <w:bCs/>
          <w:color w:val="1C1917"/>
          <w:sz w:val="36"/>
          <w:szCs w:val="36"/>
        </w:rPr>
        <w:t xml:space="preserve">9. Team &amp; Resource Requirements</w:t>
      </w:r>
    </w:p>
    <w:p>
      <w:pPr>
        <w:pStyle w:val="Heading2"/>
        <w:spacing w:after="120" w:before="280"/>
      </w:pPr>
      <w:r>
        <w:rPr>
          <w:rFonts w:ascii="Arial" w:cs="Arial" w:eastAsia="Arial" w:hAnsi="Arial"/>
          <w:b/>
          <w:bCs/>
          <w:color w:val="1C1917"/>
          <w:sz w:val="28"/>
          <w:szCs w:val="28"/>
        </w:rPr>
        <w:t xml:space="preserve">Current Team</w:t>
      </w:r>
    </w:p>
    <w:p>
      <w:pPr>
        <w:pStyle w:val="ListParagraph"/>
        <w:numPr>
          <w:ilvl w:val="0"/>
          <w:numId w:val="8"/>
        </w:numPr>
        <w:spacing w:after="80"/>
      </w:pPr>
      <w:r>
        <w:rPr>
          <w:rFonts w:ascii="Arial" w:cs="Arial" w:eastAsia="Arial" w:hAnsi="Arial"/>
          <w:color w:val="57534E"/>
          <w:sz w:val="22"/>
          <w:szCs w:val="22"/>
        </w:rPr>
        <w:t xml:space="preserve">Craig Spergel, MD — Product vision, clinical validation, sales (physician-to-physician), hospitalist domain expertise</w:t>
      </w:r>
    </w:p>
    <w:p>
      <w:pPr>
        <w:pStyle w:val="ListParagraph"/>
        <w:numPr>
          <w:ilvl w:val="0"/>
          <w:numId w:val="8"/>
        </w:numPr>
        <w:spacing w:after="80"/>
      </w:pPr>
      <w:r>
        <w:rPr>
          <w:rFonts w:ascii="Arial" w:cs="Arial" w:eastAsia="Arial" w:hAnsi="Arial"/>
          <w:color w:val="57534E"/>
          <w:sz w:val="22"/>
          <w:szCs w:val="22"/>
        </w:rPr>
        <w:t xml:space="preserve">AQSoft.AI team — AutoCoder HCC Engine, core engineering resources, AI/ML capabilities</w:t>
      </w:r>
    </w:p>
    <w:p>
      <w:pPr>
        <w:pStyle w:val="ListParagraph"/>
        <w:numPr>
          <w:ilvl w:val="0"/>
          <w:numId w:val="8"/>
        </w:numPr>
        <w:spacing w:after="80"/>
      </w:pPr>
      <w:r>
        <w:rPr>
          <w:rFonts w:ascii="Arial" w:cs="Arial" w:eastAsia="Arial" w:hAnsi="Arial"/>
          <w:color w:val="57534E"/>
          <w:sz w:val="22"/>
          <w:szCs w:val="22"/>
        </w:rPr>
        <w:t xml:space="preserve">Dr. Mariya Milko — Clinical partner, practice operations</w:t>
      </w:r>
    </w:p>
    <w:p>
      <w:pPr>
        <w:pStyle w:val="Heading2"/>
        <w:spacing w:after="120" w:before="280"/>
      </w:pPr>
      <w:r>
        <w:rPr>
          <w:rFonts w:ascii="Arial" w:cs="Arial" w:eastAsia="Arial" w:hAnsi="Arial"/>
          <w:b/>
          <w:bCs/>
          <w:color w:val="1C1917"/>
          <w:sz w:val="28"/>
          <w:szCs w:val="28"/>
        </w:rPr>
        <w:t xml:space="preserve">Needed Hires (Phase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800"/>
        <w:gridCol w:w="4160"/>
      </w:tblGrid>
      <w:tr>
        <w:tc>
          <w:tcPr>
            <w:tcW w:type="dxa" w:w="24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Role</w:t>
            </w:r>
          </w:p>
        </w:tc>
        <w:tc>
          <w:tcPr>
            <w:tcW w:type="dxa" w:w="10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When</w:t>
            </w:r>
          </w:p>
        </w:tc>
        <w:tc>
          <w:tcPr>
            <w:tcW w:type="dxa" w:w="18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Cost</w:t>
            </w:r>
          </w:p>
        </w:tc>
        <w:tc>
          <w:tcPr>
            <w:tcW w:type="dxa" w:w="416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Why</w:t>
            </w:r>
          </w:p>
        </w:tc>
      </w:tr>
      <w:tr>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Full-stack engineer</w:t>
            </w:r>
          </w:p>
        </w:tc>
        <w:tc>
          <w:tcPr>
            <w:tcW w:type="dxa" w:w="10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Month 1</w:t>
            </w:r>
          </w:p>
        </w:tc>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$120–160K/yr</w:t>
            </w:r>
          </w:p>
        </w:tc>
        <w:tc>
          <w:tcPr>
            <w:tcW w:type="dxa" w:w="41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React SPA + FastAPI. Could be AQSoft team.</w:t>
            </w:r>
          </w:p>
        </w:tc>
      </w:tr>
      <w:tr>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Implementation / CS lead</w:t>
            </w:r>
          </w:p>
        </w:tc>
        <w:tc>
          <w:tcPr>
            <w:tcW w:type="dxa" w:w="10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Month 6</w:t>
            </w:r>
          </w:p>
        </w:tc>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$80–110K/yr</w:t>
            </w:r>
          </w:p>
        </w:tc>
        <w:tc>
          <w:tcPr>
            <w:tcW w:type="dxa" w:w="41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Client onboarding, data ingestion, support</w:t>
            </w:r>
          </w:p>
        </w:tc>
      </w:tr>
      <w:tr>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2nd engineer</w:t>
            </w:r>
          </w:p>
        </w:tc>
        <w:tc>
          <w:tcPr>
            <w:tcW w:type="dxa" w:w="10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Month 9</w:t>
            </w:r>
          </w:p>
        </w:tc>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$120–160K/yr</w:t>
            </w:r>
          </w:p>
        </w:tc>
        <w:tc>
          <w:tcPr>
            <w:tcW w:type="dxa" w:w="41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Scale development for concurrent clients</w:t>
            </w:r>
          </w:p>
        </w:tc>
      </w:tr>
      <w:tr>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Sales / BD (part-time)</w:t>
            </w:r>
          </w:p>
        </w:tc>
        <w:tc>
          <w:tcPr>
            <w:tcW w:type="dxa" w:w="10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Month 12</w:t>
            </w:r>
          </w:p>
        </w:tc>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$60–80K/yr + comm</w:t>
            </w:r>
          </w:p>
        </w:tc>
        <w:tc>
          <w:tcPr>
            <w:tcW w:type="dxa" w:w="41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Outbound prospecting, conference presence</w:t>
            </w:r>
          </w:p>
        </w:tc>
      </w:tr>
      <w:tr>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Quality/clinical analyst</w:t>
            </w:r>
          </w:p>
        </w:tc>
        <w:tc>
          <w:tcPr>
            <w:tcW w:type="dxa" w:w="10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Month 15</w:t>
            </w:r>
          </w:p>
        </w:tc>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$70–90K/yr</w:t>
            </w:r>
          </w:p>
        </w:tc>
        <w:tc>
          <w:tcPr>
            <w:tcW w:type="dxa" w:w="41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HEDIS/Stars expertise, client deliverables</w:t>
            </w:r>
          </w:p>
        </w:tc>
      </w:tr>
    </w:tbl>
    <w:p>
      <w:pPr>
        <w:spacing w:after="200"/>
      </w:pPr>
    </w:p>
    <w:p>
      <w:pPr>
        <w:spacing w:after="160"/>
      </w:pPr>
      <w:r>
        <w:rPr>
          <w:rFonts w:ascii="Arial" w:cs="Arial" w:eastAsia="Arial" w:hAnsi="Arial"/>
          <w:color w:val="57534E"/>
          <w:sz w:val="22"/>
          <w:szCs w:val="22"/>
        </w:rPr>
        <w:t xml:space="preserve">Total team size at Month 24: 6–8 people (including founders). This is intentionally lean. The platform’s value comes from AI automation replacing headcount — our cost structure should reflect that.</w:t>
      </w:r>
    </w:p>
    <w:p>
      <w:r>
        <w:br w:type="page"/>
      </w:r>
    </w:p>
    <w:p>
      <w:pPr>
        <w:pStyle w:val="Heading1"/>
        <w:spacing w:after="160" w:before="360"/>
      </w:pPr>
      <w:r>
        <w:rPr>
          <w:rFonts w:ascii="Arial" w:cs="Arial" w:eastAsia="Arial" w:hAnsi="Arial"/>
          <w:b/>
          <w:bCs/>
          <w:color w:val="1C1917"/>
          <w:sz w:val="36"/>
          <w:szCs w:val="36"/>
        </w:rPr>
        <w:t xml:space="preserve">10. Risks &amp; Contingencies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5160"/>
      </w:tblGrid>
      <w:tr>
        <w:tc>
          <w:tcPr>
            <w:tcW w:type="dxa" w:w="22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Risk</w:t>
            </w:r>
          </w:p>
        </w:tc>
        <w:tc>
          <w:tcPr>
            <w:tcW w:type="dxa" w:w="10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Likelihood</w:t>
            </w:r>
          </w:p>
        </w:tc>
        <w:tc>
          <w:tcPr>
            <w:tcW w:type="dxa" w:w="10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Impact</w:t>
            </w:r>
          </w:p>
        </w:tc>
        <w:tc>
          <w:tcPr>
            <w:tcW w:type="dxa" w:w="516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Contingency</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Slow enterprise sales cycle</w:t>
            </w:r>
          </w:p>
        </w:tc>
        <w:tc>
          <w:tcPr>
            <w:tcW w:type="dxa" w:w="10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High</w:t>
            </w:r>
          </w:p>
        </w:tc>
        <w:tc>
          <w:tcPr>
            <w:tcW w:type="dxa" w:w="10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Medium</w:t>
            </w:r>
          </w:p>
        </w:tc>
        <w:tc>
          <w:tcPr>
            <w:tcW w:type="dxa" w:w="51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Don’t depend on enterprise revenue in Year 1. Small/mid MSOs sustain the business.</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Client data quality issues</w:t>
            </w:r>
          </w:p>
        </w:tc>
        <w:tc>
          <w:tcPr>
            <w:tcW w:type="dxa" w:w="10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High</w:t>
            </w:r>
          </w:p>
        </w:tc>
        <w:tc>
          <w:tcPr>
            <w:tcW w:type="dxa" w:w="10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Medium</w:t>
            </w:r>
          </w:p>
        </w:tc>
        <w:tc>
          <w:tcPr>
            <w:tcW w:type="dxa" w:w="51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AI column mapping + validation handles most cases. Budget implementation time for messy data.</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Provider adoption resistance</w:t>
            </w:r>
          </w:p>
        </w:tc>
        <w:tc>
          <w:tcPr>
            <w:tcW w:type="dxa" w:w="10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Medium</w:t>
            </w:r>
          </w:p>
        </w:tc>
        <w:tc>
          <w:tcPr>
            <w:tcW w:type="dxa" w:w="10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High</w:t>
            </w:r>
          </w:p>
        </w:tc>
        <w:tc>
          <w:tcPr>
            <w:tcW w:type="dxa" w:w="51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Overlay mode = zero workflow change. Start with documentation value. Let results build trust.</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Competitor copies our approach</w:t>
            </w:r>
          </w:p>
        </w:tc>
        <w:tc>
          <w:tcPr>
            <w:tcW w:type="dxa" w:w="10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Medium</w:t>
            </w:r>
          </w:p>
        </w:tc>
        <w:tc>
          <w:tcPr>
            <w:tcW w:type="dxa" w:w="10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Medium</w:t>
            </w:r>
          </w:p>
        </w:tc>
        <w:tc>
          <w:tcPr>
            <w:tcW w:type="dxa" w:w="51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Execution speed + data network effects. 12-month head start matters in healthcare.</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Regulatory change (RADV, V28)</w:t>
            </w:r>
          </w:p>
        </w:tc>
        <w:tc>
          <w:tcPr>
            <w:tcW w:type="dxa" w:w="10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Medium</w:t>
            </w:r>
          </w:p>
        </w:tc>
        <w:tc>
          <w:tcPr>
            <w:tcW w:type="dxa" w:w="10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Medium</w:t>
            </w:r>
          </w:p>
        </w:tc>
        <w:tc>
          <w:tcPr>
            <w:tcW w:type="dxa" w:w="51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Modular architecture. RAF engine can be updated independently. Monitor CMS rulemaking.</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AQSoft.AI partnership friction</w:t>
            </w:r>
          </w:p>
        </w:tc>
        <w:tc>
          <w:tcPr>
            <w:tcW w:type="dxa" w:w="10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Low</w:t>
            </w:r>
          </w:p>
        </w:tc>
        <w:tc>
          <w:tcPr>
            <w:tcW w:type="dxa" w:w="10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High</w:t>
            </w:r>
          </w:p>
        </w:tc>
        <w:tc>
          <w:tcPr>
            <w:tcW w:type="dxa" w:w="51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Clear API contracts, defined ownership. This document helps align expectations upfront.</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Funding gap before breakeven</w:t>
            </w:r>
          </w:p>
        </w:tc>
        <w:tc>
          <w:tcPr>
            <w:tcW w:type="dxa" w:w="10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Medium</w:t>
            </w:r>
          </w:p>
        </w:tc>
        <w:tc>
          <w:tcPr>
            <w:tcW w:type="dxa" w:w="10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High</w:t>
            </w:r>
          </w:p>
        </w:tc>
        <w:tc>
          <w:tcPr>
            <w:tcW w:type="dxa" w:w="51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Lean burn rate. Revenue from small MSOs bridges the gap. Evaluate fundraise at Month 12.</w:t>
            </w:r>
          </w:p>
        </w:tc>
      </w:tr>
    </w:tbl>
    <w:p>
      <w:r>
        <w:br w:type="page"/>
      </w:r>
    </w:p>
    <w:p>
      <w:pPr>
        <w:pStyle w:val="Heading1"/>
        <w:spacing w:after="160" w:before="360"/>
      </w:pPr>
      <w:r>
        <w:rPr>
          <w:rFonts w:ascii="Arial" w:cs="Arial" w:eastAsia="Arial" w:hAnsi="Arial"/>
          <w:b/>
          <w:bCs/>
          <w:color w:val="1C1917"/>
          <w:sz w:val="36"/>
          <w:szCs w:val="36"/>
        </w:rPr>
        <w:t xml:space="preserve">11. The Ask</w:t>
      </w:r>
    </w:p>
    <w:p>
      <w:pPr>
        <w:spacing w:after="160"/>
      </w:pPr>
      <w:r>
        <w:rPr>
          <w:rFonts w:ascii="Arial" w:cs="Arial" w:eastAsia="Arial" w:hAnsi="Arial"/>
          <w:color w:val="57534E"/>
          <w:sz w:val="22"/>
          <w:szCs w:val="22"/>
        </w:rPr>
        <w:t xml:space="preserve">This business plan outlines a path from concept to $2–3M ARR within 24 months, built on a product that is already partially constructed (SNF Admit Assist, AutoCoder, PCC Extension, platform prototypes) and targeting a pipeline of 275,000 managed lives across 5 identified prospects.</w:t>
      </w:r>
    </w:p>
    <w:p>
      <w:pPr>
        <w:pStyle w:val="Heading2"/>
        <w:spacing w:after="120" w:before="280"/>
      </w:pPr>
      <w:r>
        <w:rPr>
          <w:rFonts w:ascii="Arial" w:cs="Arial" w:eastAsia="Arial" w:hAnsi="Arial"/>
          <w:b/>
          <w:bCs/>
          <w:color w:val="1C1917"/>
          <w:sz w:val="28"/>
          <w:szCs w:val="28"/>
        </w:rPr>
        <w:t xml:space="preserve">What We Need to Execute</w:t>
      </w:r>
    </w:p>
    <w:p>
      <w:pPr>
        <w:pStyle w:val="ListParagraph"/>
        <w:numPr>
          <w:ilvl w:val="0"/>
          <w:numId w:val="9"/>
        </w:numPr>
        <w:spacing w:after="80"/>
      </w:pPr>
      <w:r>
        <w:rPr>
          <w:rFonts w:ascii="Arial" w:cs="Arial" w:eastAsia="Arial" w:hAnsi="Arial"/>
          <w:color w:val="57534E"/>
          <w:sz w:val="22"/>
          <w:szCs w:val="22"/>
        </w:rPr>
        <w:t xml:space="preserve">Alignment between AQSoft.AI and Spergel Health AI on ownership, roles, and investment commitment</w:t>
      </w:r>
    </w:p>
    <w:p>
      <w:pPr>
        <w:pStyle w:val="ListParagraph"/>
        <w:numPr>
          <w:ilvl w:val="0"/>
          <w:numId w:val="9"/>
        </w:numPr>
        <w:spacing w:after="80"/>
      </w:pPr>
      <w:r>
        <w:rPr>
          <w:rFonts w:ascii="Arial" w:cs="Arial" w:eastAsia="Arial" w:hAnsi="Arial"/>
          <w:color w:val="57534E"/>
          <w:sz w:val="22"/>
          <w:szCs w:val="22"/>
        </w:rPr>
        <w:t xml:space="preserve">2–3 months of focused engineering to get from prototypes to deployable platform (Phase 0–1)</w:t>
      </w:r>
    </w:p>
    <w:p>
      <w:pPr>
        <w:pStyle w:val="ListParagraph"/>
        <w:numPr>
          <w:ilvl w:val="0"/>
          <w:numId w:val="9"/>
        </w:numPr>
        <w:spacing w:after="80"/>
      </w:pPr>
      <w:r>
        <w:rPr>
          <w:rFonts w:ascii="Arial" w:cs="Arial" w:eastAsia="Arial" w:hAnsi="Arial"/>
          <w:color w:val="57534E"/>
          <w:sz w:val="22"/>
          <w:szCs w:val="22"/>
        </w:rPr>
        <w:t xml:space="preserve">Access to own MSO panel data for immediate pilot deployment</w:t>
      </w:r>
    </w:p>
    <w:p>
      <w:pPr>
        <w:pStyle w:val="ListParagraph"/>
        <w:numPr>
          <w:ilvl w:val="0"/>
          <w:numId w:val="9"/>
        </w:numPr>
        <w:spacing w:after="80"/>
      </w:pPr>
      <w:r>
        <w:rPr>
          <w:rFonts w:ascii="Arial" w:cs="Arial" w:eastAsia="Arial" w:hAnsi="Arial"/>
          <w:color w:val="57534E"/>
          <w:sz w:val="22"/>
          <w:szCs w:val="22"/>
        </w:rPr>
        <w:t xml:space="preserve">Warm introductions to the 15K-life MSO prospect for the retrospective analysis offer</w:t>
      </w:r>
    </w:p>
    <w:p>
      <w:pPr>
        <w:pStyle w:val="ListParagraph"/>
        <w:numPr>
          <w:ilvl w:val="0"/>
          <w:numId w:val="9"/>
        </w:numPr>
        <w:spacing w:after="80"/>
      </w:pPr>
      <w:r>
        <w:rPr>
          <w:rFonts w:ascii="Arial" w:cs="Arial" w:eastAsia="Arial" w:hAnsi="Arial"/>
          <w:color w:val="57534E"/>
          <w:sz w:val="22"/>
          <w:szCs w:val="22"/>
        </w:rPr>
        <w:t xml:space="preserve">Commitment to the design philosophy: clean, modern, invisible AI — not another healthcare tech product that looks like it was built in 2015</w:t>
      </w:r>
    </w:p>
    <w:p>
      <w:pPr>
        <w:spacing w:after="200"/>
      </w:pPr>
    </w:p>
    <w:p>
      <w:pPr>
        <w:spacing w:after="160"/>
      </w:pPr>
      <w:r>
        <w:rPr>
          <w:rFonts w:ascii="Arial" w:cs="Arial" w:eastAsia="Arial" w:hAnsi="Arial"/>
          <w:b/>
          <w:bCs/>
          <w:color w:val="57534E"/>
          <w:sz w:val="22"/>
          <w:szCs w:val="22"/>
        </w:rPr>
        <w:t xml:space="preserve">The market is ready. The technology is built. The clinical credibility is established. The question is whether we move fast enough to capture the window before well-funded competitors fill the same gap.</w:t>
      </w:r>
    </w:p>
    <w:p>
      <w:pPr>
        <w:spacing w:after="200"/>
      </w:pPr>
    </w:p>
    <w:p>
      <w:pPr>
        <w:spacing w:after="200"/>
      </w:pPr>
    </w:p>
    <w:p>
      <w:pPr>
        <w:spacing w:before="400"/>
        <w:jc w:val="center"/>
      </w:pPr>
      <w:r>
        <w:rPr>
          <w:rFonts w:ascii="Arial" w:cs="Arial" w:eastAsia="Arial" w:hAnsi="Arial"/>
          <w:i/>
          <w:iCs/>
          <w:color w:val="A8A29E"/>
          <w:sz w:val="20"/>
          <w:szCs w:val="20"/>
        </w:rPr>
        <w:t xml:space="preserve">— End of Business Plan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C191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C191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C191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2026-03-24T12:45:10.201Z</dcterms:created>
  <dcterms:modified xsi:type="dcterms:W3CDTF">2026-03-24T12:45:10.202Z</dcterms:modified>
</cp:coreProperties>
</file>

<file path=docProps/custom.xml><?xml version="1.0" encoding="utf-8"?>
<Properties xmlns="http://schemas.openxmlformats.org/officeDocument/2006/custom-properties" xmlns:vt="http://schemas.openxmlformats.org/officeDocument/2006/docPropsVTypes"/>
</file>