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80"/>
        <w:jc w:val="center"/>
      </w:pPr>
      <w:r>
        <w:rPr>
          <w:rFonts w:ascii="Arial" w:cs="Arial" w:eastAsia="Arial" w:hAnsi="Arial"/>
          <w:b/>
          <w:bCs/>
          <w:color w:val="1C1917"/>
          <w:sz w:val="56"/>
          <w:szCs w:val="56"/>
        </w:rPr>
        <w:t xml:space="preserve">AQSoft Health Platform</w:t>
      </w:r>
    </w:p>
    <w:p>
      <w:pPr>
        <w:spacing w:after="200"/>
        <w:jc w:val="center"/>
      </w:pPr>
      <w:r>
        <w:rPr>
          <w:rFonts w:ascii="Arial" w:cs="Arial" w:eastAsia="Arial" w:hAnsi="Arial"/>
          <w:color w:val="16A34A"/>
          <w:sz w:val="28"/>
          <w:szCs w:val="28"/>
        </w:rPr>
        <w:t xml:space="preserve">Managed Care Intelligence Platform</w:t>
      </w:r>
    </w:p>
    <w:p>
      <w:pPr>
        <w:spacing w:after="80"/>
        <w:jc w:val="center"/>
      </w:pPr>
      <w:r>
        <w:rPr>
          <w:rFonts w:ascii="Arial" w:cs="Arial" w:eastAsia="Arial" w:hAnsi="Arial"/>
          <w:color w:val="57534E"/>
          <w:sz w:val="24"/>
          <w:szCs w:val="24"/>
        </w:rPr>
        <w:t xml:space="preserve">Product Design &amp; Architecture Package</w:t>
      </w:r>
    </w:p>
    <w:p>
      <w:pPr>
        <w:spacing w:after="200"/>
      </w:pPr>
    </w:p>
    <w:p>
      <w:pPr>
        <w:spacing w:after="80"/>
        <w:jc w:val="center"/>
      </w:pPr>
      <w:r>
        <w:rPr>
          <w:rFonts w:ascii="Arial" w:cs="Arial" w:eastAsia="Arial" w:hAnsi="Arial"/>
          <w:color w:val="A8A29E"/>
          <w:sz w:val="20"/>
          <w:szCs w:val="20"/>
        </w:rPr>
        <w:t xml:space="preserve">Version 0.1 Draft — March 2026</w:t>
      </w:r>
    </w:p>
    <w:p>
      <w:pPr>
        <w:spacing w:after="80"/>
        <w:jc w:val="center"/>
      </w:pPr>
      <w:r>
        <w:rPr>
          <w:rFonts w:ascii="Arial" w:cs="Arial" w:eastAsia="Arial" w:hAnsi="Arial"/>
          <w:color w:val="A8A29E"/>
          <w:sz w:val="20"/>
          <w:szCs w:val="20"/>
        </w:rPr>
        <w:t xml:space="preserve">Prepared by: Craig Spergel, MD</w:t>
      </w:r>
    </w:p>
    <w:p>
      <w:pPr>
        <w:spacing w:after="80"/>
        <w:jc w:val="center"/>
      </w:pPr>
      <w:r>
        <w:rPr>
          <w:rFonts w:ascii="Arial" w:cs="Arial" w:eastAsia="Arial" w:hAnsi="Arial"/>
          <w:color w:val="A8A29E"/>
          <w:sz w:val="20"/>
          <w:szCs w:val="20"/>
        </w:rPr>
        <w:t xml:space="preserve">For: AQSoft.AI Partnership Review</w:t>
      </w:r>
    </w:p>
    <w:p>
      <w:pPr>
        <w:spacing w:after="200"/>
      </w:pPr>
    </w:p>
    <w:p>
      <w:pPr>
        <w:spacing w:after="200"/>
      </w:pPr>
    </w:p>
    <w:p>
      <w:pPr>
        <w:spacing w:after="80"/>
        <w:jc w:val="center"/>
      </w:pPr>
      <w:r>
        <w:rPr>
          <w:rFonts w:ascii="Arial" w:cs="Arial" w:eastAsia="Arial" w:hAnsi="Arial"/>
          <w:i/>
          <w:iCs/>
          <w:color w:val="A8A29E"/>
          <w:sz w:val="20"/>
          <w:szCs w:val="20"/>
        </w:rPr>
        <w:t xml:space="preserve">This document contains: product vision, competitive analysis, architecture specification, module inventory (30+ modules), 6-phase build plan, design direction, revenue model, and deliverable index.</w:t>
      </w:r>
    </w:p>
    <w:p>
      <w:r>
        <w:br w:type="page"/>
      </w:r>
    </w:p>
    <w:p>
      <w:pPr>
        <w:pStyle w:val="Heading1"/>
        <w:spacing w:after="120" w:before="360"/>
      </w:pPr>
      <w:r>
        <w:rPr>
          <w:rFonts w:ascii="Arial" w:cs="Arial" w:eastAsia="Arial" w:hAnsi="Arial"/>
          <w:b/>
          <w:bCs/>
          <w:color w:val="1C1917"/>
        </w:rPr>
        <w:t xml:space="preserve">Contents</w:t>
      </w:r>
    </w:p>
    <w:p>
      <w:pPr>
        <w:spacing w:after="160"/>
      </w:pPr>
      <w:r>
        <w:rPr>
          <w:rFonts w:ascii="Arial" w:cs="Arial" w:eastAsia="Arial" w:hAnsi="Arial"/>
          <w:color w:val="57534E"/>
          <w:sz w:val="22"/>
          <w:szCs w:val="22"/>
        </w:rPr>
        <w:t xml:space="preserve">1. Executive Summary</w:t>
      </w:r>
    </w:p>
    <w:p>
      <w:pPr>
        <w:spacing w:after="160"/>
      </w:pPr>
      <w:r>
        <w:rPr>
          <w:rFonts w:ascii="Arial" w:cs="Arial" w:eastAsia="Arial" w:hAnsi="Arial"/>
          <w:color w:val="57534E"/>
          <w:sz w:val="22"/>
          <w:szCs w:val="22"/>
        </w:rPr>
        <w:t xml:space="preserve">2. Product Vision &amp; Design Principles</w:t>
      </w:r>
    </w:p>
    <w:p>
      <w:pPr>
        <w:spacing w:after="160"/>
      </w:pPr>
      <w:r>
        <w:rPr>
          <w:rFonts w:ascii="Arial" w:cs="Arial" w:eastAsia="Arial" w:hAnsi="Arial"/>
          <w:color w:val="57534E"/>
          <w:sz w:val="22"/>
          <w:szCs w:val="22"/>
        </w:rPr>
        <w:t xml:space="preserve">3. Competitive Landscape &amp; Positioning</w:t>
      </w:r>
    </w:p>
    <w:p>
      <w:pPr>
        <w:spacing w:after="160"/>
      </w:pPr>
      <w:r>
        <w:rPr>
          <w:rFonts w:ascii="Arial" w:cs="Arial" w:eastAsia="Arial" w:hAnsi="Arial"/>
          <w:color w:val="57534E"/>
          <w:sz w:val="22"/>
          <w:szCs w:val="22"/>
        </w:rPr>
        <w:t xml:space="preserve">4. Architecture &amp; Technology Stack</w:t>
      </w:r>
    </w:p>
    <w:p>
      <w:pPr>
        <w:spacing w:after="160"/>
      </w:pPr>
      <w:r>
        <w:rPr>
          <w:rFonts w:ascii="Arial" w:cs="Arial" w:eastAsia="Arial" w:hAnsi="Arial"/>
          <w:color w:val="57534E"/>
          <w:sz w:val="22"/>
          <w:szCs w:val="22"/>
        </w:rPr>
        <w:t xml:space="preserve">5. Module Inventory (What We Built)</w:t>
      </w:r>
    </w:p>
    <w:p>
      <w:pPr>
        <w:spacing w:after="160"/>
      </w:pPr>
      <w:r>
        <w:rPr>
          <w:rFonts w:ascii="Arial" w:cs="Arial" w:eastAsia="Arial" w:hAnsi="Arial"/>
          <w:color w:val="57534E"/>
          <w:sz w:val="22"/>
          <w:szCs w:val="22"/>
        </w:rPr>
        <w:t xml:space="preserve">6. Gap Analysis (What We Need)</w:t>
      </w:r>
    </w:p>
    <w:p>
      <w:pPr>
        <w:spacing w:after="160"/>
      </w:pPr>
      <w:r>
        <w:rPr>
          <w:rFonts w:ascii="Arial" w:cs="Arial" w:eastAsia="Arial" w:hAnsi="Arial"/>
          <w:color w:val="57534E"/>
          <w:sz w:val="22"/>
          <w:szCs w:val="22"/>
        </w:rPr>
        <w:t xml:space="preserve">7. Build Phases &amp; Timeline</w:t>
      </w:r>
    </w:p>
    <w:p>
      <w:pPr>
        <w:spacing w:after="160"/>
      </w:pPr>
      <w:r>
        <w:rPr>
          <w:rFonts w:ascii="Arial" w:cs="Arial" w:eastAsia="Arial" w:hAnsi="Arial"/>
          <w:color w:val="57534E"/>
          <w:sz w:val="22"/>
          <w:szCs w:val="22"/>
        </w:rPr>
        <w:t xml:space="preserve">8. Design Direction</w:t>
      </w:r>
    </w:p>
    <w:p>
      <w:pPr>
        <w:spacing w:after="160"/>
      </w:pPr>
      <w:r>
        <w:rPr>
          <w:rFonts w:ascii="Arial" w:cs="Arial" w:eastAsia="Arial" w:hAnsi="Arial"/>
          <w:color w:val="57534E"/>
          <w:sz w:val="22"/>
          <w:szCs w:val="22"/>
        </w:rPr>
        <w:t xml:space="preserve">9. Revenue Model &amp; Projections</w:t>
      </w:r>
    </w:p>
    <w:p>
      <w:pPr>
        <w:spacing w:after="160"/>
      </w:pPr>
      <w:r>
        <w:rPr>
          <w:rFonts w:ascii="Arial" w:cs="Arial" w:eastAsia="Arial" w:hAnsi="Arial"/>
          <w:color w:val="57534E"/>
          <w:sz w:val="22"/>
          <w:szCs w:val="22"/>
        </w:rPr>
        <w:t xml:space="preserve">10. Risks &amp; Mitigations</w:t>
      </w:r>
    </w:p>
    <w:p>
      <w:pPr>
        <w:spacing w:after="160"/>
      </w:pPr>
      <w:r>
        <w:rPr>
          <w:rFonts w:ascii="Arial" w:cs="Arial" w:eastAsia="Arial" w:hAnsi="Arial"/>
          <w:color w:val="57534E"/>
          <w:sz w:val="22"/>
          <w:szCs w:val="22"/>
        </w:rPr>
        <w:t xml:space="preserve">11. Deliverable Index</w:t>
      </w:r>
    </w:p>
    <w:p>
      <w:pPr>
        <w:spacing w:after="160"/>
      </w:pPr>
      <w:r>
        <w:rPr>
          <w:rFonts w:ascii="Arial" w:cs="Arial" w:eastAsia="Arial" w:hAnsi="Arial"/>
          <w:color w:val="57534E"/>
          <w:sz w:val="22"/>
          <w:szCs w:val="22"/>
        </w:rPr>
        <w:t xml:space="preserve">12. Immediate Next Steps</w:t>
      </w:r>
    </w:p>
    <w:p>
      <w:r>
        <w:br w:type="page"/>
      </w:r>
    </w:p>
    <w:p>
      <w:pPr>
        <w:pStyle w:val="Heading1"/>
        <w:spacing w:after="120" w:before="360"/>
      </w:pPr>
      <w:r>
        <w:rPr>
          <w:rFonts w:ascii="Arial" w:cs="Arial" w:eastAsia="Arial" w:hAnsi="Arial"/>
          <w:b/>
          <w:bCs/>
          <w:color w:val="1C1917"/>
        </w:rPr>
        <w:t xml:space="preserve">1. Executive Summary</w:t>
      </w:r>
    </w:p>
    <w:p>
      <w:pPr>
        <w:spacing w:after="160"/>
      </w:pPr>
      <w:r>
        <w:rPr>
          <w:rFonts w:ascii="Arial" w:cs="Arial" w:eastAsia="Arial" w:hAnsi="Arial"/>
          <w:color w:val="57534E"/>
          <w:sz w:val="22"/>
          <w:szCs w:val="22"/>
        </w:rPr>
        <w:t xml:space="preserve">We are building a managed care intelligence platform that combines a full EHR (forked from OpenEMR 8.0) with AI-driven risk adjustment, quality measurement, expenditure optimization, and population health operations. The platform is deployable as a standalone EMR for small groups and SNFs, or as a lightweight overlay on existing EHRs (Epic, Cerner, athena, PointClickCare) via FHIR R4 and Chrome extensions.</w:t>
      </w:r>
    </w:p>
    <w:p>
      <w:pPr>
        <w:spacing w:after="160"/>
      </w:pPr>
      <w:r>
        <w:rPr>
          <w:rFonts w:ascii="Arial" w:cs="Arial" w:eastAsia="Arial" w:hAnsi="Arial"/>
          <w:color w:val="57534E"/>
          <w:sz w:val="22"/>
          <w:szCs w:val="22"/>
        </w:rPr>
        <w:t xml:space="preserve">The AI is embedded at every step of the clinical workflow, from scheduling through billing, but the intelligence is invisible to the user. The interface presents results cleanly without any AI badges, labels, or gimmicks. The note is just correct. The gaps are just surfaced. The RAF is just calculated.</w:t>
      </w:r>
    </w:p>
    <w:p>
      <w:pPr>
        <w:spacing w:after="160"/>
      </w:pPr>
      <w:r>
        <w:rPr>
          <w:rFonts w:ascii="Arial" w:cs="Arial" w:eastAsia="Arial" w:hAnsi="Arial"/>
          <w:b/>
          <w:bCs/>
          <w:color w:val="1C1917"/>
          <w:sz w:val="22"/>
          <w:szCs w:val="22"/>
        </w:rPr>
        <w:t xml:space="preserve">Key differentiators: </w:t>
      </w:r>
      <w:r>
        <w:rPr>
          <w:rFonts w:ascii="Arial" w:cs="Arial" w:eastAsia="Arial" w:hAnsi="Arial"/>
          <w:color w:val="57534E"/>
          <w:sz w:val="22"/>
          <w:szCs w:val="22"/>
        </w:rPr>
        <w:t xml:space="preserve">(1) Prospective AI HCC capture at point of care, (2) SNF/post-acute admission pipeline unique to the market, (3) integrated denial prevention via AIClaim, (4) expenditure analytics with actionable AI optimization, (5) care management operations integrated with clinical workflow, (6) open-source EHR base with proprietary intelligence layer, (7) overlay mode for existing EHRs plus standalone option.</w:t>
      </w:r>
    </w:p>
    <w:p>
      <w:pPr>
        <w:spacing w:after="160"/>
      </w:pPr>
      <w:r>
        <w:rPr>
          <w:rFonts w:ascii="Arial" w:cs="Arial" w:eastAsia="Arial" w:hAnsi="Arial"/>
          <w:b/>
          <w:bCs/>
          <w:color w:val="1C1917"/>
          <w:sz w:val="22"/>
          <w:szCs w:val="22"/>
        </w:rPr>
        <w:t xml:space="preserve">Existing assets being integrated: </w:t>
      </w:r>
      <w:r>
        <w:rPr>
          <w:rFonts w:ascii="Arial" w:cs="Arial" w:eastAsia="Arial" w:hAnsi="Arial"/>
          <w:color w:val="57534E"/>
          <w:sz w:val="22"/>
          <w:szCs w:val="22"/>
        </w:rPr>
        <w:t xml:space="preserve">AutoCoder HCC Engine (AQSoft.AI), SNF Admit Assist (66 commits, production-ready), PCC Chrome Extension, redact.health (PHI de-identification), AIClaim (external API for denial prevention).</w:t>
      </w:r>
    </w:p>
    <w:p>
      <w:pPr>
        <w:spacing w:after="160"/>
      </w:pPr>
      <w:r>
        <w:rPr>
          <w:rFonts w:ascii="Arial" w:cs="Arial" w:eastAsia="Arial" w:hAnsi="Arial"/>
          <w:b/>
          <w:bCs/>
          <w:color w:val="1C1917"/>
          <w:sz w:val="22"/>
          <w:szCs w:val="22"/>
        </w:rPr>
        <w:t xml:space="preserve">Revenue target: </w:t>
      </w:r>
      <w:r>
        <w:rPr>
          <w:rFonts w:ascii="Arial" w:cs="Arial" w:eastAsia="Arial" w:hAnsi="Arial"/>
          <w:color w:val="57534E"/>
          <w:sz w:val="22"/>
          <w:szCs w:val="22"/>
        </w:rPr>
        <w:t xml:space="preserve">$2-3M ARR within 24 months through PMPM licensing, per-capture fees, and revenue share models with MSO clients.</w:t>
      </w:r>
    </w:p>
    <w:p>
      <w:r>
        <w:br w:type="page"/>
      </w:r>
    </w:p>
    <w:p>
      <w:pPr>
        <w:pStyle w:val="Heading1"/>
        <w:spacing w:after="120" w:before="360"/>
      </w:pPr>
      <w:r>
        <w:rPr>
          <w:rFonts w:ascii="Arial" w:cs="Arial" w:eastAsia="Arial" w:hAnsi="Arial"/>
          <w:b/>
          <w:bCs/>
          <w:color w:val="1C1917"/>
        </w:rPr>
        <w:t xml:space="preserve">2. Product Vision &amp; Design Principles</w:t>
      </w:r>
    </w:p>
    <w:p>
      <w:pPr>
        <w:pStyle w:val="Heading2"/>
        <w:spacing w:after="120" w:before="240"/>
      </w:pPr>
      <w:r>
        <w:rPr>
          <w:rFonts w:ascii="Arial" w:cs="Arial" w:eastAsia="Arial" w:hAnsi="Arial"/>
          <w:b/>
          <w:bCs/>
          <w:color w:val="1C1917"/>
        </w:rPr>
        <w:t xml:space="preserve">What This Replaces</w:t>
      </w:r>
    </w:p>
    <w:p>
      <w:pPr>
        <w:pStyle w:val="ListParagraph"/>
        <w:numPr>
          <w:ilvl w:val="0"/>
          <w:numId w:val="2"/>
        </w:numPr>
        <w:spacing w:after="80"/>
      </w:pPr>
      <w:r>
        <w:rPr>
          <w:rFonts w:ascii="Arial" w:cs="Arial" w:eastAsia="Arial" w:hAnsi="Arial"/>
          <w:color w:val="57534E"/>
          <w:sz w:val="22"/>
          <w:szCs w:val="22"/>
        </w:rPr>
        <w:t xml:space="preserve">Manual HCC chart review (Vatica Health’s embedded nurse model — we automate it)</w:t>
      </w:r>
    </w:p>
    <w:p>
      <w:pPr>
        <w:pStyle w:val="ListParagraph"/>
        <w:numPr>
          <w:ilvl w:val="0"/>
          <w:numId w:val="2"/>
        </w:numPr>
        <w:spacing w:after="80"/>
      </w:pPr>
      <w:r>
        <w:rPr>
          <w:rFonts w:ascii="Arial" w:cs="Arial" w:eastAsia="Arial" w:hAnsi="Arial"/>
          <w:color w:val="57534E"/>
          <w:sz w:val="22"/>
          <w:szCs w:val="22"/>
        </w:rPr>
        <w:t xml:space="preserve">Retrospective risk adjustment (Episource, Cotiviti — we do it prospectively at point of care)</w:t>
      </w:r>
    </w:p>
    <w:p>
      <w:pPr>
        <w:pStyle w:val="ListParagraph"/>
        <w:numPr>
          <w:ilvl w:val="0"/>
          <w:numId w:val="2"/>
        </w:numPr>
        <w:spacing w:after="80"/>
      </w:pPr>
      <w:r>
        <w:rPr>
          <w:rFonts w:ascii="Arial" w:cs="Arial" w:eastAsia="Arial" w:hAnsi="Arial"/>
          <w:color w:val="57534E"/>
          <w:sz w:val="22"/>
          <w:szCs w:val="22"/>
        </w:rPr>
        <w:t xml:space="preserve">Disconnected quality tracking (spreadsheets, plan portal downloads — we unify it)</w:t>
      </w:r>
    </w:p>
    <w:p>
      <w:pPr>
        <w:pStyle w:val="ListParagraph"/>
        <w:numPr>
          <w:ilvl w:val="0"/>
          <w:numId w:val="2"/>
        </w:numPr>
        <w:spacing w:after="80"/>
      </w:pPr>
      <w:r>
        <w:rPr>
          <w:rFonts w:ascii="Arial" w:cs="Arial" w:eastAsia="Arial" w:hAnsi="Arial"/>
          <w:color w:val="57534E"/>
          <w:sz w:val="22"/>
          <w:szCs w:val="22"/>
        </w:rPr>
        <w:t xml:space="preserve">Separate care management platforms (GuidingCare, Medecision — we integrate with clinical workflow)</w:t>
      </w:r>
    </w:p>
    <w:p>
      <w:pPr>
        <w:pStyle w:val="ListParagraph"/>
        <w:numPr>
          <w:ilvl w:val="0"/>
          <w:numId w:val="2"/>
        </w:numPr>
        <w:spacing w:after="80"/>
      </w:pPr>
      <w:r>
        <w:rPr>
          <w:rFonts w:ascii="Arial" w:cs="Arial" w:eastAsia="Arial" w:hAnsi="Arial"/>
          <w:color w:val="57534E"/>
          <w:sz w:val="22"/>
          <w:szCs w:val="22"/>
        </w:rPr>
        <w:t xml:space="preserve">Multiple vendor logins for MSO operations — one platform replaces 5-8 tools</w:t>
      </w:r>
    </w:p>
    <w:p>
      <w:pPr>
        <w:pStyle w:val="Heading2"/>
        <w:spacing w:after="120" w:before="240"/>
      </w:pPr>
      <w:r>
        <w:rPr>
          <w:rFonts w:ascii="Arial" w:cs="Arial" w:eastAsia="Arial" w:hAnsi="Arial"/>
          <w:b/>
          <w:bCs/>
          <w:color w:val="1C1917"/>
        </w:rPr>
        <w:t xml:space="preserve">Who Uses It</w:t>
      </w:r>
    </w:p>
    <w:p>
      <w:pPr>
        <w:pStyle w:val="ListParagraph"/>
        <w:numPr>
          <w:ilvl w:val="0"/>
          <w:numId w:val="3"/>
        </w:numPr>
        <w:spacing w:after="80"/>
      </w:pPr>
      <w:r>
        <w:rPr>
          <w:rFonts w:ascii="Arial" w:cs="Arial" w:eastAsia="Arial" w:hAnsi="Arial"/>
          <w:color w:val="57534E"/>
          <w:sz w:val="22"/>
          <w:szCs w:val="22"/>
        </w:rPr>
        <w:t xml:space="preserve">Providers (physicians, NPs, PAs) — encounter workflow, documentation, coding</w:t>
      </w:r>
    </w:p>
    <w:p>
      <w:pPr>
        <w:pStyle w:val="ListParagraph"/>
        <w:numPr>
          <w:ilvl w:val="0"/>
          <w:numId w:val="3"/>
        </w:numPr>
        <w:spacing w:after="80"/>
      </w:pPr>
      <w:r>
        <w:rPr>
          <w:rFonts w:ascii="Arial" w:cs="Arial" w:eastAsia="Arial" w:hAnsi="Arial"/>
          <w:color w:val="57534E"/>
          <w:sz w:val="22"/>
          <w:szCs w:val="22"/>
        </w:rPr>
        <w:t xml:space="preserve">Care managers (RN, SW) — caseload management, outreach, transitions of care</w:t>
      </w:r>
    </w:p>
    <w:p>
      <w:pPr>
        <w:pStyle w:val="ListParagraph"/>
        <w:numPr>
          <w:ilvl w:val="0"/>
          <w:numId w:val="3"/>
        </w:numPr>
        <w:spacing w:after="80"/>
      </w:pPr>
      <w:r>
        <w:rPr>
          <w:rFonts w:ascii="Arial" w:cs="Arial" w:eastAsia="Arial" w:hAnsi="Arial"/>
          <w:color w:val="57534E"/>
          <w:sz w:val="22"/>
          <w:szCs w:val="22"/>
        </w:rPr>
        <w:t xml:space="preserve">MSO administrators — population analytics, financial tracking, regulatory reporting</w:t>
      </w:r>
    </w:p>
    <w:p>
      <w:pPr>
        <w:pStyle w:val="ListParagraph"/>
        <w:numPr>
          <w:ilvl w:val="0"/>
          <w:numId w:val="3"/>
        </w:numPr>
        <w:spacing w:after="80"/>
      </w:pPr>
      <w:r>
        <w:rPr>
          <w:rFonts w:ascii="Arial" w:cs="Arial" w:eastAsia="Arial" w:hAnsi="Arial"/>
          <w:color w:val="57534E"/>
          <w:sz w:val="22"/>
          <w:szCs w:val="22"/>
        </w:rPr>
        <w:t xml:space="preserve">Billing staff — claim submission, denial management, authorization tracking</w:t>
      </w:r>
    </w:p>
    <w:p>
      <w:pPr>
        <w:pStyle w:val="ListParagraph"/>
        <w:numPr>
          <w:ilvl w:val="0"/>
          <w:numId w:val="3"/>
        </w:numPr>
        <w:spacing w:after="80"/>
      </w:pPr>
      <w:r>
        <w:rPr>
          <w:rFonts w:ascii="Arial" w:cs="Arial" w:eastAsia="Arial" w:hAnsi="Arial"/>
          <w:color w:val="57534E"/>
          <w:sz w:val="22"/>
          <w:szCs w:val="22"/>
        </w:rPr>
        <w:t xml:space="preserve">Quality/compliance teams — HEDIS, Star Ratings, MIPS, RADV audit preparation</w:t>
      </w:r>
    </w:p>
    <w:p>
      <w:pPr>
        <w:pStyle w:val="Heading2"/>
        <w:spacing w:after="120" w:before="240"/>
      </w:pPr>
      <w:r>
        <w:rPr>
          <w:rFonts w:ascii="Arial" w:cs="Arial" w:eastAsia="Arial" w:hAnsi="Arial"/>
          <w:b/>
          <w:bCs/>
          <w:color w:val="1C1917"/>
        </w:rPr>
        <w:t xml:space="preserve">Design Principles</w:t>
      </w:r>
    </w:p>
    <w:p>
      <w:pPr>
        <w:spacing w:after="160"/>
      </w:pPr>
      <w:r>
        <w:rPr>
          <w:rFonts w:ascii="Arial" w:cs="Arial" w:eastAsia="Arial" w:hAnsi="Arial"/>
          <w:b/>
          <w:bCs/>
          <w:color w:val="1C1917"/>
          <w:sz w:val="22"/>
          <w:szCs w:val="22"/>
        </w:rPr>
        <w:t xml:space="preserve">1. Intelligence is invisible. </w:t>
      </w:r>
      <w:r>
        <w:rPr>
          <w:rFonts w:ascii="Arial" w:cs="Arial" w:eastAsia="Arial" w:hAnsi="Arial"/>
          <w:color w:val="57534E"/>
          <w:sz w:val="22"/>
          <w:szCs w:val="22"/>
        </w:rPr>
        <w:t xml:space="preserve">The AI does the work. The UI presents results cleanly. No “AI-powered” badges, no “machine learning detected this” labels. The note is just correct. The gaps are just surfaced.</w:t>
      </w:r>
    </w:p>
    <w:p>
      <w:pPr>
        <w:spacing w:after="160"/>
      </w:pPr>
      <w:r>
        <w:rPr>
          <w:rFonts w:ascii="Arial" w:cs="Arial" w:eastAsia="Arial" w:hAnsi="Arial"/>
          <w:b/>
          <w:bCs/>
          <w:color w:val="1C1917"/>
          <w:sz w:val="22"/>
          <w:szCs w:val="22"/>
        </w:rPr>
        <w:t xml:space="preserve">2. Warm, approachable, professional. </w:t>
      </w:r>
      <w:r>
        <w:rPr>
          <w:rFonts w:ascii="Arial" w:cs="Arial" w:eastAsia="Arial" w:hAnsi="Arial"/>
          <w:color w:val="57534E"/>
          <w:sz w:val="22"/>
          <w:szCs w:val="22"/>
        </w:rPr>
        <w:t xml:space="preserve">Light mode default. Clean typography. Generous whitespace. Feels like Linear or Stripe — not a hacker terminal. Physicians should feel calm using it.</w:t>
      </w:r>
    </w:p>
    <w:p>
      <w:pPr>
        <w:spacing w:after="160"/>
      </w:pPr>
      <w:r>
        <w:rPr>
          <w:rFonts w:ascii="Arial" w:cs="Arial" w:eastAsia="Arial" w:hAnsi="Arial"/>
          <w:b/>
          <w:bCs/>
          <w:color w:val="1C1917"/>
          <w:sz w:val="22"/>
          <w:szCs w:val="22"/>
        </w:rPr>
        <w:t xml:space="preserve">3. One accent color. </w:t>
      </w:r>
      <w:r>
        <w:rPr>
          <w:rFonts w:ascii="Arial" w:cs="Arial" w:eastAsia="Arial" w:hAnsi="Arial"/>
          <w:color w:val="57534E"/>
          <w:sz w:val="22"/>
          <w:szCs w:val="22"/>
        </w:rPr>
        <w:t xml:space="preserve">Green for positive actions. Amber for warnings. Red only for true alerts. No rainbow dashboards.</w:t>
      </w:r>
    </w:p>
    <w:p>
      <w:pPr>
        <w:spacing w:after="160"/>
      </w:pPr>
      <w:r>
        <w:rPr>
          <w:rFonts w:ascii="Arial" w:cs="Arial" w:eastAsia="Arial" w:hAnsi="Arial"/>
          <w:b/>
          <w:bCs/>
          <w:color w:val="1C1917"/>
          <w:sz w:val="22"/>
          <w:szCs w:val="22"/>
        </w:rPr>
        <w:t xml:space="preserve">4. Progressive disclosure. </w:t>
      </w:r>
      <w:r>
        <w:rPr>
          <w:rFonts w:ascii="Arial" w:cs="Arial" w:eastAsia="Arial" w:hAnsi="Arial"/>
          <w:color w:val="57534E"/>
          <w:sz w:val="22"/>
          <w:szCs w:val="22"/>
        </w:rPr>
        <w:t xml:space="preserve">Show what matters first. Details on click. Don’t overwhelm the screen.</w:t>
      </w:r>
    </w:p>
    <w:p>
      <w:pPr>
        <w:spacing w:after="160"/>
      </w:pPr>
      <w:r>
        <w:rPr>
          <w:rFonts w:ascii="Arial" w:cs="Arial" w:eastAsia="Arial" w:hAnsi="Arial"/>
          <w:b/>
          <w:bCs/>
          <w:color w:val="1C1917"/>
          <w:sz w:val="22"/>
          <w:szCs w:val="22"/>
        </w:rPr>
        <w:t xml:space="preserve">5. Works on day one. </w:t>
      </w:r>
      <w:r>
        <w:rPr>
          <w:rFonts w:ascii="Arial" w:cs="Arial" w:eastAsia="Arial" w:hAnsi="Arial"/>
          <w:color w:val="57534E"/>
          <w:sz w:val="22"/>
          <w:szCs w:val="22"/>
        </w:rPr>
        <w:t xml:space="preserve">A new MSO client uploads a CSV roster and starts seeing insights immediately. No 6-month implementation required.</w:t>
      </w:r>
    </w:p>
    <w:p>
      <w:r>
        <w:br w:type="page"/>
      </w:r>
    </w:p>
    <w:p>
      <w:pPr>
        <w:pStyle w:val="Heading1"/>
        <w:spacing w:after="120" w:before="360"/>
      </w:pPr>
      <w:r>
        <w:rPr>
          <w:rFonts w:ascii="Arial" w:cs="Arial" w:eastAsia="Arial" w:hAnsi="Arial"/>
          <w:b/>
          <w:bCs/>
          <w:color w:val="1C1917"/>
        </w:rPr>
        <w:t xml:space="preserve">3. Competitive Landscape &amp; Positioning</w:t>
      </w:r>
    </w:p>
    <w:p>
      <w:pPr>
        <w:pStyle w:val="Heading2"/>
        <w:spacing w:after="120" w:before="240"/>
      </w:pPr>
      <w:r>
        <w:rPr>
          <w:rFonts w:ascii="Arial" w:cs="Arial" w:eastAsia="Arial" w:hAnsi="Arial"/>
          <w:b/>
          <w:bCs/>
          <w:color w:val="1C1917"/>
        </w:rPr>
        <w:t xml:space="preserve">Navina — The Primary Competitor</w:t>
      </w:r>
    </w:p>
    <w:p>
      <w:pPr>
        <w:spacing w:after="160"/>
      </w:pPr>
      <w:r>
        <w:rPr>
          <w:rFonts w:ascii="Arial" w:cs="Arial" w:eastAsia="Arial" w:hAnsi="Arial"/>
          <w:color w:val="57534E"/>
          <w:sz w:val="22"/>
          <w:szCs w:val="22"/>
        </w:rPr>
        <w:t xml:space="preserve">Navina is the #1 Best in KLAS 2025 for Clinician Digital Workflow (second consecutive year). They raised $55M Series C from Goldman Sachs, serve 10,000+ providers and 3M+ patients, and maintain an 86% clinician usage rate. Their core concept is the “Patient Portrait” — fragmented data transformed into a unified patient view with evidence-linked condition suspects.</w:t>
      </w:r>
    </w:p>
    <w:p>
      <w:pPr>
        <w:spacing w:after="160"/>
      </w:pPr>
      <w:r>
        <w:rPr>
          <w:rFonts w:ascii="Arial" w:cs="Arial" w:eastAsia="Arial" w:hAnsi="Arial"/>
          <w:b/>
          <w:bCs/>
          <w:color w:val="1C1917"/>
          <w:sz w:val="22"/>
          <w:szCs w:val="22"/>
        </w:rPr>
        <w:t xml:space="preserve">What to copy: </w:t>
      </w:r>
      <w:r>
        <w:rPr>
          <w:rFonts w:ascii="Arial" w:cs="Arial" w:eastAsia="Arial" w:hAnsi="Arial"/>
          <w:color w:val="57534E"/>
          <w:sz w:val="22"/>
          <w:szCs w:val="22"/>
        </w:rPr>
        <w:t xml:space="preserve">Evidence-linking philosophy (every suspect shows the specific lab, note, or med that implies it). Their 90%+ first-week adoption proves the UX works. Copy their “Patient Portrait” concept of unified data.</w:t>
      </w:r>
    </w:p>
    <w:p>
      <w:pPr>
        <w:spacing w:after="160"/>
      </w:pPr>
      <w:r>
        <w:rPr>
          <w:rFonts w:ascii="Arial" w:cs="Arial" w:eastAsia="Arial" w:hAnsi="Arial"/>
          <w:b/>
          <w:bCs/>
          <w:color w:val="1C1917"/>
          <w:sz w:val="22"/>
          <w:szCs w:val="22"/>
        </w:rPr>
        <w:t xml:space="preserve">What to do better: </w:t>
      </w:r>
      <w:r>
        <w:rPr>
          <w:rFonts w:ascii="Arial" w:cs="Arial" w:eastAsia="Arial" w:hAnsi="Arial"/>
          <w:color w:val="57534E"/>
          <w:sz w:val="22"/>
          <w:szCs w:val="22"/>
        </w:rPr>
        <w:t xml:space="preserve">Navina is overlay-only (no standalone EHR). They don’t touch billing/denial prevention. No expenditure analytics, no care management workbench, no MSO operations. They need 3 vendor partnerships (Nabla for ambient AI, ABW Medical for RCM) to cover what our platform does natively.</w:t>
      </w:r>
    </w:p>
    <w:p>
      <w:pPr>
        <w:pStyle w:val="Heading2"/>
        <w:spacing w:after="120" w:before="240"/>
      </w:pPr>
      <w:r>
        <w:rPr>
          <w:rFonts w:ascii="Arial" w:cs="Arial" w:eastAsia="Arial" w:hAnsi="Arial"/>
          <w:b/>
          <w:bCs/>
          <w:color w:val="1C1917"/>
        </w:rPr>
        <w:t xml:space="preserve">Arcadia — The Enterprise Data Platform</w:t>
      </w:r>
    </w:p>
    <w:p>
      <w:pPr>
        <w:spacing w:after="160"/>
      </w:pPr>
      <w:r>
        <w:rPr>
          <w:rFonts w:ascii="Arial" w:cs="Arial" w:eastAsia="Arial" w:hAnsi="Arial"/>
          <w:color w:val="57534E"/>
          <w:sz w:val="22"/>
          <w:szCs w:val="22"/>
        </w:rPr>
        <w:t xml:space="preserve">Arcadia has 2,600+ data connection points, serves 30%+ of Newsweek’s Best Hospitals, and specializes in healthcare data aggregation and analytics. One payer saw a $7M Medicaid premium increase using their risk/quality tools.</w:t>
      </w:r>
    </w:p>
    <w:p>
      <w:pPr>
        <w:spacing w:after="160"/>
      </w:pPr>
      <w:r>
        <w:rPr>
          <w:rFonts w:ascii="Arial" w:cs="Arial" w:eastAsia="Arial" w:hAnsi="Arial"/>
          <w:b/>
          <w:bCs/>
          <w:color w:val="1C1917"/>
          <w:sz w:val="22"/>
          <w:szCs w:val="22"/>
        </w:rPr>
        <w:t xml:space="preserve">What to copy: </w:t>
      </w:r>
      <w:r>
        <w:rPr>
          <w:rFonts w:ascii="Arial" w:cs="Arial" w:eastAsia="Arial" w:hAnsi="Arial"/>
          <w:color w:val="57534E"/>
          <w:sz w:val="22"/>
          <w:szCs w:val="22"/>
        </w:rPr>
        <w:t xml:space="preserve">Their data aggregation philosophy — combining claims, clinical, SDoH, pharmacy, and ADT data into a single source of truth. Their combined risk + quality workflow approach.</w:t>
      </w:r>
    </w:p>
    <w:p>
      <w:pPr>
        <w:spacing w:after="160"/>
      </w:pPr>
      <w:r>
        <w:rPr>
          <w:rFonts w:ascii="Arial" w:cs="Arial" w:eastAsia="Arial" w:hAnsi="Arial"/>
          <w:b/>
          <w:bCs/>
          <w:color w:val="1C1917"/>
          <w:sz w:val="22"/>
          <w:szCs w:val="22"/>
        </w:rPr>
        <w:t xml:space="preserve">What to do better: </w:t>
      </w:r>
      <w:r>
        <w:rPr>
          <w:rFonts w:ascii="Arial" w:cs="Arial" w:eastAsia="Arial" w:hAnsi="Arial"/>
          <w:color w:val="57534E"/>
          <w:sz w:val="22"/>
          <w:szCs w:val="22"/>
        </w:rPr>
        <w:t xml:space="preserve">Arcadia is not a clinical tool. Providers don’t document inside it. It’s retrospective analytics, not prospective point-of-care intelligence. Implementation takes months and costs six figures. Our file-upload approach deploys in a day.</w:t>
      </w:r>
    </w:p>
    <w:p>
      <w:pPr>
        <w:pStyle w:val="Heading2"/>
        <w:spacing w:after="120" w:before="240"/>
      </w:pPr>
      <w:r>
        <w:rPr>
          <w:rFonts w:ascii="Arial" w:cs="Arial" w:eastAsia="Arial" w:hAnsi="Arial"/>
          <w:b/>
          <w:bCs/>
          <w:color w:val="1C1917"/>
        </w:rPr>
        <w:t xml:space="preserve">Aledade — The Scale Play</w:t>
      </w:r>
    </w:p>
    <w:p>
      <w:pPr>
        <w:spacing w:after="160"/>
      </w:pPr>
      <w:r>
        <w:rPr>
          <w:rFonts w:ascii="Arial" w:cs="Arial" w:eastAsia="Arial" w:hAnsi="Arial"/>
          <w:color w:val="57534E"/>
          <w:sz w:val="22"/>
          <w:szCs w:val="22"/>
        </w:rPr>
        <w:t xml:space="preserve">Aledade works with 3,000+ primary care organizations across 46 states, caring for 3M+ patients. Hit $1B revenue in 2025. Focused on MSSP and MA for independent primary care.</w:t>
      </w:r>
    </w:p>
    <w:p>
      <w:pPr>
        <w:spacing w:after="160"/>
      </w:pPr>
      <w:r>
        <w:rPr>
          <w:rFonts w:ascii="Arial" w:cs="Arial" w:eastAsia="Arial" w:hAnsi="Arial"/>
          <w:b/>
          <w:bCs/>
          <w:color w:val="1C1917"/>
          <w:sz w:val="22"/>
          <w:szCs w:val="22"/>
        </w:rPr>
        <w:t xml:space="preserve">What to learn: </w:t>
      </w:r>
      <w:r>
        <w:rPr>
          <w:rFonts w:ascii="Arial" w:cs="Arial" w:eastAsia="Arial" w:hAnsi="Arial"/>
          <w:color w:val="57534E"/>
          <w:sz w:val="22"/>
          <w:szCs w:val="22"/>
        </w:rPr>
        <w:t xml:space="preserve">Their growth model makes it easy for independent practices to enter VBC without changing their EHR. Our overlay mode follows the same philosophy. Their focus discipline is admirable — we should similarly target SNF/post-acute + hospitalist managed care as our beachhead.</w:t>
      </w:r>
    </w:p>
    <w:p>
      <w:pPr>
        <w:pStyle w:val="Heading2"/>
        <w:spacing w:after="120" w:before="240"/>
      </w:pPr>
      <w:r>
        <w:rPr>
          <w:rFonts w:ascii="Arial" w:cs="Arial" w:eastAsia="Arial" w:hAnsi="Arial"/>
          <w:b/>
          <w:bCs/>
          <w:color w:val="1C1917"/>
        </w:rPr>
        <w:t xml:space="preserve">agilon health — The Cautionary Tale</w:t>
      </w:r>
    </w:p>
    <w:p>
      <w:pPr>
        <w:spacing w:after="160"/>
      </w:pPr>
      <w:r>
        <w:rPr>
          <w:rFonts w:ascii="Arial" w:cs="Arial" w:eastAsia="Arial" w:hAnsi="Arial"/>
          <w:color w:val="57534E"/>
          <w:sz w:val="22"/>
          <w:szCs w:val="22"/>
        </w:rPr>
        <w:t xml:space="preserve">Public company (NYSE: AGL) doing full-risk capitation for seniors. Stock fell 51.5% in August 2025 after suspending guidance. Struggling with cost trends and the economics of full-risk.</w:t>
      </w:r>
    </w:p>
    <w:p>
      <w:pPr>
        <w:spacing w:after="160"/>
      </w:pPr>
      <w:r>
        <w:rPr>
          <w:rFonts w:ascii="Arial" w:cs="Arial" w:eastAsia="Arial" w:hAnsi="Arial"/>
          <w:b/>
          <w:bCs/>
          <w:color w:val="1C1917"/>
          <w:sz w:val="22"/>
          <w:szCs w:val="22"/>
        </w:rPr>
        <w:t xml:space="preserve">What to learn: </w:t>
      </w:r>
      <w:r>
        <w:rPr>
          <w:rFonts w:ascii="Arial" w:cs="Arial" w:eastAsia="Arial" w:hAnsi="Arial"/>
          <w:color w:val="57534E"/>
          <w:sz w:val="22"/>
          <w:szCs w:val="22"/>
        </w:rPr>
        <w:t xml:space="preserve">Physician empowerment model is right, but full-risk requires tight cost management tools. Our expenditure drill-down with AI optimization is what agilon needed. Their financial data pipeline was inadequate — validates our financial management module.</w:t>
      </w:r>
    </w:p>
    <w:p>
      <w:pPr>
        <w:pStyle w:val="Heading2"/>
        <w:spacing w:after="120" w:before="240"/>
      </w:pPr>
      <w:r>
        <w:rPr>
          <w:rFonts w:ascii="Arial" w:cs="Arial" w:eastAsia="Arial" w:hAnsi="Arial"/>
          <w:b/>
          <w:bCs/>
          <w:color w:val="1C1917"/>
        </w:rPr>
        <w:t xml:space="preserve">Innovaccer — The Enterprise Kitchen Sink</w:t>
      </w:r>
    </w:p>
    <w:p>
      <w:pPr>
        <w:spacing w:after="160"/>
      </w:pPr>
      <w:r>
        <w:rPr>
          <w:rFonts w:ascii="Arial" w:cs="Arial" w:eastAsia="Arial" w:hAnsi="Arial"/>
          <w:color w:val="57534E"/>
          <w:sz w:val="22"/>
          <w:szCs w:val="22"/>
        </w:rPr>
        <w:t xml:space="preserve">Broad platform: Atlas (population health), Galaxy (payer risk/quality), Comet (patient access), Flow (RCM). Trying to serve everyone — payers, providers, public sector, life sciences.</w:t>
      </w:r>
    </w:p>
    <w:p>
      <w:pPr>
        <w:spacing w:after="160"/>
      </w:pPr>
      <w:r>
        <w:rPr>
          <w:rFonts w:ascii="Arial" w:cs="Arial" w:eastAsia="Arial" w:hAnsi="Arial"/>
          <w:b/>
          <w:bCs/>
          <w:color w:val="1C1917"/>
          <w:sz w:val="22"/>
          <w:szCs w:val="22"/>
        </w:rPr>
        <w:t xml:space="preserve">What to do differently: </w:t>
      </w:r>
      <w:r>
        <w:rPr>
          <w:rFonts w:ascii="Arial" w:cs="Arial" w:eastAsia="Arial" w:hAnsi="Arial"/>
          <w:color w:val="57534E"/>
          <w:sz w:val="22"/>
          <w:szCs w:val="22"/>
        </w:rPr>
        <w:t xml:space="preserve">They go wide, we go deep. Focus on managed care for physician groups and MSOs. Be opinionated about workflow. Open-source base = no vendor lock-in.</w:t>
      </w:r>
    </w:p>
    <w:p>
      <w:pPr>
        <w:pStyle w:val="Heading2"/>
        <w:spacing w:after="120" w:before="240"/>
      </w:pPr>
      <w:r>
        <w:rPr>
          <w:rFonts w:ascii="Arial" w:cs="Arial" w:eastAsia="Arial" w:hAnsi="Arial"/>
          <w:b/>
          <w:bCs/>
          <w:color w:val="1C1917"/>
        </w:rPr>
        <w:t xml:space="preserve">Our Unique Position</w:t>
      </w:r>
    </w:p>
    <w:p>
      <w:pPr>
        <w:spacing w:after="160"/>
      </w:pPr>
      <w:r>
        <w:rPr>
          <w:rFonts w:ascii="Arial" w:cs="Arial" w:eastAsia="Arial" w:hAnsi="Arial"/>
          <w:color w:val="57534E"/>
          <w:sz w:val="22"/>
          <w:szCs w:val="22"/>
        </w:rPr>
        <w:t xml:space="preserve">No competitor combines all seven of these capabilities: (1) Prospective AI HCC capture at point of care, (2) SNF/post-acute note compilation pipeline (SNF Admit Assist — unique to market), (3) Denial prevention integrated at billing (AIClaim), (4) Expenditure analytics with AI cost optimization, (5) Care management operations integrated with clinical workflow, (6) Open-source EHR base, (7) Overlay mode for existing EHRs plus standalone option. Everyone else has 2-3 of these.</w:t>
      </w:r>
    </w:p>
    <w:p>
      <w:r>
        <w:br w:type="page"/>
      </w:r>
    </w:p>
    <w:p>
      <w:pPr>
        <w:pStyle w:val="Heading1"/>
        <w:spacing w:after="120" w:before="360"/>
      </w:pPr>
      <w:r>
        <w:rPr>
          <w:rFonts w:ascii="Arial" w:cs="Arial" w:eastAsia="Arial" w:hAnsi="Arial"/>
          <w:b/>
          <w:bCs/>
          <w:color w:val="1C1917"/>
        </w:rPr>
        <w:t xml:space="preserve">4. Architecture &amp; Technology Stack</w:t>
      </w:r>
    </w:p>
    <w:p>
      <w:pPr>
        <w:pStyle w:val="Heading2"/>
        <w:spacing w:after="120" w:before="240"/>
      </w:pPr>
      <w:r>
        <w:rPr>
          <w:rFonts w:ascii="Arial" w:cs="Arial" w:eastAsia="Arial" w:hAnsi="Arial"/>
          <w:b/>
          <w:bCs/>
          <w:color w:val="1C1917"/>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Layer</w:t>
            </w:r>
          </w:p>
        </w:tc>
        <w:tc>
          <w:tcPr>
            <w:tcW w:type="dxa" w:w="28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Technology</w:t>
            </w:r>
          </w:p>
        </w:tc>
        <w:tc>
          <w:tcPr>
            <w:tcW w:type="dxa" w:w="43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Rationale</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Frontend</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React 19 + Vite</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Modern SPA, fast builds, component-driven</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Design System</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Custom (Tailwind utilities)</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Warm, premium aesthetic</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Backend (core)</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OpenEMR 8.0 PHP</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Auth, FHIR R4, billing/837, scheduling, CRUD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Backend (AI)</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FastAPI (Python)</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SNF Admit Assist, AutoCoder, OCC parser, RAF calc</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Backend (claims)</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AIClaim API (external)</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Denial prevention, claim scrubbing</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Database</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MySQL / MariaDB</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OpenEMR schema + new platform tables</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Cache</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Redis</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Sessions, job queues, real-time ADT</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PHI Security</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redact.health</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De-identification pipeline</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Deployment</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Docker Compose → Kubernetes</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Dev → production multi-tenant</w:t>
            </w:r>
          </w:p>
        </w:tc>
      </w:tr>
    </w:tbl>
    <w:p>
      <w:pPr>
        <w:spacing w:after="200"/>
      </w:pPr>
    </w:p>
    <w:p>
      <w:pPr>
        <w:pStyle w:val="Heading2"/>
        <w:spacing w:after="120" w:before="240"/>
      </w:pPr>
      <w:r>
        <w:rPr>
          <w:rFonts w:ascii="Arial" w:cs="Arial" w:eastAsia="Arial" w:hAnsi="Arial"/>
          <w:b/>
          <w:bCs/>
          <w:color w:val="1C1917"/>
        </w:rPr>
        <w:t xml:space="preserve">Existing Codebases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Codebase</w:t>
            </w:r>
          </w:p>
        </w:tc>
        <w:tc>
          <w:tcPr>
            <w:tcW w:type="dxa" w:w="24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Status</w:t>
            </w:r>
          </w:p>
        </w:tc>
        <w:tc>
          <w:tcPr>
            <w:tcW w:type="dxa" w:w="43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Role</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OpenEMR 8.0</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Fork</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EHR chassis — schema, FHIR, billing, auth</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SNF Admit Assist</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66 commits, production</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Note compilation, PDF extraction, HCC coding, RAF</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AutoCoder HCC Engine</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AQSoft.AI proprietary</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Core coding intelligence</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PCC Chrome Extension</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In SNF Assist repo</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PointClickCare integration</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redact.health</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Existing</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PHI de-identification</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AIClaim (aiclaim.com)</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External API</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Denial prevention, claim scrubbing</w:t>
            </w:r>
          </w:p>
        </w:tc>
      </w:tr>
    </w:tbl>
    <w:p>
      <w:pPr>
        <w:spacing w:after="200"/>
      </w:pPr>
    </w:p>
    <w:p>
      <w:pPr>
        <w:pStyle w:val="Heading2"/>
        <w:spacing w:after="120" w:before="240"/>
      </w:pPr>
      <w:r>
        <w:rPr>
          <w:rFonts w:ascii="Arial" w:cs="Arial" w:eastAsia="Arial" w:hAnsi="Arial"/>
          <w:b/>
          <w:bCs/>
          <w:color w:val="1C1917"/>
        </w:rPr>
        <w:t xml:space="preserve">Integration Architecture</w:t>
      </w:r>
    </w:p>
    <w:p>
      <w:pPr>
        <w:spacing w:after="160"/>
      </w:pPr>
      <w:r>
        <w:rPr>
          <w:rFonts w:ascii="Arial" w:cs="Arial" w:eastAsia="Arial" w:hAnsi="Arial"/>
          <w:color w:val="57534E"/>
          <w:sz w:val="22"/>
          <w:szCs w:val="22"/>
        </w:rPr>
        <w:t xml:space="preserve">The platform runs a two-backend architecture. OpenEMR’s PHP handles auth, FHIR R4, billing (X12 837P generation), scheduling, and core patient data CRUD. FastAPI (Python) handles all AI workloads: SNF Admit Assist, AutoCoder, OCC parser, LLM triage, RAF calculation. Both backends share the same MySQL database. AIClaim is called via external API during the billing step. The React SPA is the single frontend, agnostic to which backend serves a given endpoint.</w:t>
      </w:r>
    </w:p>
    <w:p>
      <w:pPr>
        <w:spacing w:after="160"/>
      </w:pPr>
      <w:r>
        <w:rPr>
          <w:rFonts w:ascii="Arial" w:cs="Arial" w:eastAsia="Arial" w:hAnsi="Arial"/>
          <w:color w:val="57534E"/>
          <w:sz w:val="22"/>
          <w:szCs w:val="22"/>
        </w:rPr>
        <w:t xml:space="preserve">For overlay mode, the platform connects to existing EHRs via FHIR R4 APIs (SMART-on-FHIR for Epic/Cerner) and via Chrome extension for PointClickCare. Data flows bidirectionally — read patient data from the external EHR, write back captured HCCs as FHIR Condition resources.</w:t>
      </w:r>
    </w:p>
    <w:p>
      <w:r>
        <w:br w:type="page"/>
      </w:r>
    </w:p>
    <w:p>
      <w:pPr>
        <w:pStyle w:val="Heading1"/>
        <w:spacing w:after="120" w:before="360"/>
      </w:pPr>
      <w:r>
        <w:rPr>
          <w:rFonts w:ascii="Arial" w:cs="Arial" w:eastAsia="Arial" w:hAnsi="Arial"/>
          <w:b/>
          <w:bCs/>
          <w:color w:val="1C1917"/>
        </w:rPr>
        <w:t xml:space="preserve">5. Module Inventory — What We Built</w:t>
      </w:r>
    </w:p>
    <w:p>
      <w:pPr>
        <w:spacing w:after="160"/>
      </w:pPr>
      <w:r>
        <w:rPr>
          <w:rFonts w:ascii="Arial" w:cs="Arial" w:eastAsia="Arial" w:hAnsi="Arial"/>
          <w:color w:val="57534E"/>
          <w:sz w:val="22"/>
          <w:szCs w:val="22"/>
        </w:rPr>
        <w:t xml:space="preserve">The following modules have been designed, prototyped, and/or coded during the initial design phase. Interactive prototypes (.jsx files) are included in the deliverable package.</w:t>
      </w:r>
    </w:p>
    <w:p>
      <w:pPr>
        <w:pStyle w:val="Heading2"/>
        <w:spacing w:after="120" w:before="240"/>
      </w:pPr>
      <w:r>
        <w:rPr>
          <w:rFonts w:ascii="Arial" w:cs="Arial" w:eastAsia="Arial" w:hAnsi="Arial"/>
          <w:b/>
          <w:bCs/>
          <w:color w:val="1C1917"/>
        </w:rPr>
        <w:t xml:space="preserve">Clinical Workflow (Provider-Facing)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Module</w:t>
            </w:r>
          </w:p>
        </w:tc>
        <w:tc>
          <w:tcPr>
            <w:tcW w:type="dxa" w:w="49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Description</w:t>
            </w:r>
          </w:p>
        </w:tc>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Status</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Smart Schedule</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AI-prioritized worklist with multi-provider calendar</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 (2 views)</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Chart Prep</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Auto-ingests data from all sources, pre-builds note</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 + partially coded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Encounter Editor</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Rich text note editor with real-time coding sidebar</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 (2 designs)</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AutoCoder Integration</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ICD-10 validation, HCC mapping, MEAT, specificity</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Built (code_optimizer, raf_service)</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Billing / AIClaim</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Pre-submission scrub, denial prediction, 837 gen</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PCC Extension</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Dashboard scraper, doc downloader, smart highlighter</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Partially built</w:t>
            </w:r>
          </w:p>
        </w:tc>
      </w:tr>
    </w:tbl>
    <w:p>
      <w:pPr>
        <w:spacing w:after="200"/>
      </w:pPr>
    </w:p>
    <w:p>
      <w:pPr>
        <w:pStyle w:val="Heading2"/>
        <w:spacing w:after="120" w:before="240"/>
      </w:pPr>
      <w:r>
        <w:rPr>
          <w:rFonts w:ascii="Arial" w:cs="Arial" w:eastAsia="Arial" w:hAnsi="Arial"/>
          <w:b/>
          <w:bCs/>
          <w:color w:val="1C1917"/>
        </w:rPr>
        <w:t xml:space="preserve">Quality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Module</w:t>
            </w:r>
          </w:p>
        </w:tc>
        <w:tc>
          <w:tcPr>
            <w:tcW w:type="dxa" w:w="49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Description</w:t>
            </w:r>
          </w:p>
        </w:tc>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Status</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Star Ratings</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Overall rating, Part C/D, measure-level performance</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HEDIS Measures</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12+ measures with rates, targets, benchmarks, weights</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MIPS Tracking</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4 categories, composite scoring, individual measures</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Care Gap Engine</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Population-level gap ID with member-level chase lists</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bl>
    <w:p>
      <w:pPr>
        <w:spacing w:after="200"/>
      </w:pPr>
    </w:p>
    <w:p>
      <w:pPr>
        <w:pStyle w:val="Heading2"/>
        <w:spacing w:after="120" w:before="240"/>
      </w:pPr>
      <w:r>
        <w:rPr>
          <w:rFonts w:ascii="Arial" w:cs="Arial" w:eastAsia="Arial" w:hAnsi="Arial"/>
          <w:b/>
          <w:bCs/>
          <w:color w:val="1C1917"/>
        </w:rPr>
        <w:t xml:space="preserve">Financial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Module</w:t>
            </w:r>
          </w:p>
        </w:tc>
        <w:tc>
          <w:tcPr>
            <w:tcW w:type="dxa" w:w="49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Description</w:t>
            </w:r>
          </w:p>
        </w:tc>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Status</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Expenditure Overview</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PMPM, MLR, category breakdown, trend comparison</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Inpatient Drill-Down</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Facility performance, DRG analysis, readmissions</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ED / Observation</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Obs vs inpatient, avoidable ED, 2-midnight rule</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Professional/Specialist</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Specialty utilization, referral rate analysis</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SNF / Post-Acute</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Facility quality comparison, LOS, rehospitalization</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Pharmacy</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Drug class spend, generic rate, PDC, brand-to-generic</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AI Optimization</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Per-category recommendations with dollar impact</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bl>
    <w:p>
      <w:pPr>
        <w:spacing w:after="200"/>
      </w:pPr>
    </w:p>
    <w:p>
      <w:pPr>
        <w:pStyle w:val="Heading2"/>
        <w:spacing w:after="120" w:before="240"/>
      </w:pPr>
      <w:r>
        <w:rPr>
          <w:rFonts w:ascii="Arial" w:cs="Arial" w:eastAsia="Arial" w:hAnsi="Arial"/>
          <w:b/>
          <w:bCs/>
          <w:color w:val="1C1917"/>
        </w:rPr>
        <w:t xml:space="preserve">Operations (MSO-Facing)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Module</w:t>
            </w:r>
          </w:p>
        </w:tc>
        <w:tc>
          <w:tcPr>
            <w:tcW w:type="dxa" w:w="49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Description</w:t>
            </w:r>
          </w:p>
        </w:tc>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Status</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Care Management</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Risk stratification, caseload, tasks, AI member briefs</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Member Attribution</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Plan-level attribution, provider panels, churn</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Transitions of Care</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ADT monitoring, discharge checklists, SNF Assist trigger</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Outreach Campaigns</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Gap-driven campaigns, funnel tracking, channel optimization</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Data Ingestion</w:t>
            </w:r>
          </w:p>
        </w:tc>
        <w:tc>
          <w:tcPr>
            <w:tcW w:type="dxa" w:w="4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Universal format intake, AI column mapping, feeds</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Prototyped</w:t>
            </w:r>
          </w:p>
        </w:tc>
      </w:tr>
    </w:tbl>
    <w:p>
      <w:pPr>
        <w:spacing w:after="200"/>
      </w:pPr>
    </w:p>
    <w:p>
      <w:pPr>
        <w:pStyle w:val="Heading2"/>
        <w:spacing w:after="120" w:before="240"/>
      </w:pPr>
      <w:r>
        <w:rPr>
          <w:rFonts w:ascii="Arial" w:cs="Arial" w:eastAsia="Arial" w:hAnsi="Arial"/>
          <w:b/>
          <w:bCs/>
          <w:color w:val="1C1917"/>
        </w:rPr>
        <w:t xml:space="preserve">Backend Code (Production-Ready or Near-Ready)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Module</w:t>
            </w:r>
          </w:p>
        </w:tc>
        <w:tc>
          <w:tcPr>
            <w:tcW w:type="dxa" w:w="10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Lines</w:t>
            </w:r>
          </w:p>
        </w:tc>
        <w:tc>
          <w:tcPr>
            <w:tcW w:type="dxa" w:w="57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Description</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occ_parser.py</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1,002</w:t>
            </w:r>
          </w:p>
        </w:tc>
        <w:tc>
          <w:tcPr>
            <w:tcW w:type="dxa" w:w="5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OCC/MDS assessment parser, maps MDS 3.0 items to ICD-10/HCC</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overlay_fhir.py</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617</w:t>
            </w:r>
          </w:p>
        </w:tc>
        <w:tc>
          <w:tcPr>
            <w:tcW w:type="dxa" w:w="5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FHIR R4 overlay client with SMART-on-FHIR auth, gap detection</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chart_prep.py</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310</w:t>
            </w:r>
          </w:p>
        </w:tc>
        <w:tc>
          <w:tcPr>
            <w:tcW w:type="dxa" w:w="5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FastAPI chart prep endpoint for PCC dashboard data</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pcc-highlighter.js</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~400</w:t>
            </w:r>
          </w:p>
        </w:tc>
        <w:tc>
          <w:tcPr>
            <w:tcW w:type="dxa" w:w="5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Auto-highlighting important notes on PCC pages</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dashboard-scraper.js</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~500</w:t>
            </w:r>
          </w:p>
        </w:tc>
        <w:tc>
          <w:tcPr>
            <w:tcW w:type="dxa" w:w="5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PCC dashboard scraper with Quick/Deep Scan</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llm_triage.py</w:t>
            </w:r>
          </w:p>
        </w:tc>
        <w:tc>
          <w:tcPr>
            <w:tcW w:type="dxa" w:w="1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~120</w:t>
            </w:r>
          </w:p>
        </w:tc>
        <w:tc>
          <w:tcPr>
            <w:tcW w:type="dxa" w:w="5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Haiku-based note snippet classification endpoint</w:t>
            </w:r>
          </w:p>
        </w:tc>
      </w:tr>
    </w:tbl>
    <w:p>
      <w:r>
        <w:br w:type="page"/>
      </w:r>
    </w:p>
    <w:p>
      <w:pPr>
        <w:pStyle w:val="Heading1"/>
        <w:spacing w:after="120" w:before="360"/>
      </w:pPr>
      <w:r>
        <w:rPr>
          <w:rFonts w:ascii="Arial" w:cs="Arial" w:eastAsia="Arial" w:hAnsi="Arial"/>
          <w:b/>
          <w:bCs/>
          <w:color w:val="1C1917"/>
        </w:rPr>
        <w:t xml:space="preserve">6. Gap Analysis — What We Still Need</w:t>
      </w:r>
    </w:p>
    <w:p>
      <w:pPr>
        <w:spacing w:after="160"/>
      </w:pPr>
      <w:r>
        <w:rPr>
          <w:rFonts w:ascii="Arial" w:cs="Arial" w:eastAsia="Arial" w:hAnsi="Arial"/>
          <w:color w:val="57534E"/>
          <w:sz w:val="22"/>
          <w:szCs w:val="22"/>
        </w:rPr>
        <w:t xml:space="preserve">21 modules/capabilities identified as gaps, organized by priority. See the full gap-analysis.md document for detailed specifications of each.</w:t>
      </w:r>
    </w:p>
    <w:p>
      <w:pPr>
        <w:pStyle w:val="Heading2"/>
        <w:spacing w:after="120" w:before="240"/>
      </w:pPr>
      <w:r>
        <w:rPr>
          <w:rFonts w:ascii="Arial" w:cs="Arial" w:eastAsia="Arial" w:hAnsi="Arial"/>
          <w:b/>
          <w:bCs/>
          <w:color w:val="1C1917"/>
        </w:rPr>
        <w:t xml:space="preserve">Priority 0 — Must Have Before First Sale</w:t>
      </w:r>
    </w:p>
    <w:p>
      <w:pPr>
        <w:pStyle w:val="ListParagraph"/>
        <w:numPr>
          <w:ilvl w:val="0"/>
          <w:numId w:val="4"/>
        </w:numPr>
        <w:spacing w:after="80"/>
      </w:pPr>
      <w:r>
        <w:rPr>
          <w:rFonts w:ascii="Arial" w:cs="Arial" w:eastAsia="Arial" w:hAnsi="Arial"/>
          <w:color w:val="57534E"/>
          <w:sz w:val="22"/>
          <w:szCs w:val="22"/>
        </w:rPr>
        <w:t xml:space="preserve">Care Management Workbench (core MSO operational requirement — BUILT in prototypes)</w:t>
      </w:r>
    </w:p>
    <w:p>
      <w:pPr>
        <w:pStyle w:val="ListParagraph"/>
        <w:numPr>
          <w:ilvl w:val="0"/>
          <w:numId w:val="4"/>
        </w:numPr>
        <w:spacing w:after="80"/>
      </w:pPr>
      <w:r>
        <w:rPr>
          <w:rFonts w:ascii="Arial" w:cs="Arial" w:eastAsia="Arial" w:hAnsi="Arial"/>
          <w:color w:val="57534E"/>
          <w:sz w:val="22"/>
          <w:szCs w:val="22"/>
        </w:rPr>
        <w:t xml:space="preserve">Member Attribution &amp; Panel Management (foundation for all analytics — BUILT in prototypes)</w:t>
      </w:r>
    </w:p>
    <w:p>
      <w:pPr>
        <w:pStyle w:val="ListParagraph"/>
        <w:numPr>
          <w:ilvl w:val="0"/>
          <w:numId w:val="4"/>
        </w:numPr>
        <w:spacing w:after="80"/>
      </w:pPr>
      <w:r>
        <w:rPr>
          <w:rFonts w:ascii="Arial" w:cs="Arial" w:eastAsia="Arial" w:hAnsi="Arial"/>
          <w:color w:val="57534E"/>
          <w:sz w:val="22"/>
          <w:szCs w:val="22"/>
        </w:rPr>
        <w:t xml:space="preserve">Audit Trail / Compliance Logging (non-negotiable for healthcare — build from day 1)</w:t>
      </w:r>
    </w:p>
    <w:p>
      <w:pPr>
        <w:pStyle w:val="Heading2"/>
        <w:spacing w:after="120" w:before="240"/>
      </w:pPr>
      <w:r>
        <w:rPr>
          <w:rFonts w:ascii="Arial" w:cs="Arial" w:eastAsia="Arial" w:hAnsi="Arial"/>
          <w:b/>
          <w:bCs/>
          <w:color w:val="1C1917"/>
        </w:rPr>
        <w:t xml:space="preserve">Priority 1 — Early Roadmap</w:t>
      </w:r>
    </w:p>
    <w:p>
      <w:pPr>
        <w:pStyle w:val="ListParagraph"/>
        <w:numPr>
          <w:ilvl w:val="0"/>
          <w:numId w:val="5"/>
        </w:numPr>
        <w:spacing w:after="80"/>
      </w:pPr>
      <w:r>
        <w:rPr>
          <w:rFonts w:ascii="Arial" w:cs="Arial" w:eastAsia="Arial" w:hAnsi="Arial"/>
          <w:color w:val="57534E"/>
          <w:sz w:val="22"/>
          <w:szCs w:val="22"/>
        </w:rPr>
        <w:t xml:space="preserve">Outreach &amp; Campaign Management (turns analytics into action — BUILT in prototypes)</w:t>
      </w:r>
    </w:p>
    <w:p>
      <w:pPr>
        <w:pStyle w:val="ListParagraph"/>
        <w:numPr>
          <w:ilvl w:val="0"/>
          <w:numId w:val="5"/>
        </w:numPr>
        <w:spacing w:after="80"/>
      </w:pPr>
      <w:r>
        <w:rPr>
          <w:rFonts w:ascii="Arial" w:cs="Arial" w:eastAsia="Arial" w:hAnsi="Arial"/>
          <w:color w:val="57534E"/>
          <w:sz w:val="22"/>
          <w:szCs w:val="22"/>
        </w:rPr>
        <w:t xml:space="preserve">Referral Management with network intelligence</w:t>
      </w:r>
    </w:p>
    <w:p>
      <w:pPr>
        <w:pStyle w:val="ListParagraph"/>
        <w:numPr>
          <w:ilvl w:val="0"/>
          <w:numId w:val="5"/>
        </w:numPr>
        <w:spacing w:after="80"/>
      </w:pPr>
      <w:r>
        <w:rPr>
          <w:rFonts w:ascii="Arial" w:cs="Arial" w:eastAsia="Arial" w:hAnsi="Arial"/>
          <w:color w:val="57534E"/>
          <w:sz w:val="22"/>
          <w:szCs w:val="22"/>
        </w:rPr>
        <w:t xml:space="preserve">Transitions of Care / ADT monitoring (BUILT in prototypes, connects to SNF Admit Assist)</w:t>
      </w:r>
    </w:p>
    <w:p>
      <w:pPr>
        <w:pStyle w:val="ListParagraph"/>
        <w:numPr>
          <w:ilvl w:val="0"/>
          <w:numId w:val="5"/>
        </w:numPr>
        <w:spacing w:after="80"/>
      </w:pPr>
      <w:r>
        <w:rPr>
          <w:rFonts w:ascii="Arial" w:cs="Arial" w:eastAsia="Arial" w:hAnsi="Arial"/>
          <w:color w:val="57534E"/>
          <w:sz w:val="22"/>
          <w:szCs w:val="22"/>
        </w:rPr>
        <w:t xml:space="preserve">Financial Management / Capitation Accounting</w:t>
      </w:r>
    </w:p>
    <w:p>
      <w:pPr>
        <w:pStyle w:val="Heading2"/>
        <w:spacing w:after="120" w:before="240"/>
      </w:pPr>
      <w:r>
        <w:rPr>
          <w:rFonts w:ascii="Arial" w:cs="Arial" w:eastAsia="Arial" w:hAnsi="Arial"/>
          <w:b/>
          <w:bCs/>
          <w:color w:val="1C1917"/>
        </w:rPr>
        <w:t xml:space="preserve">Priority 2 — Growth Phase</w:t>
      </w:r>
    </w:p>
    <w:p>
      <w:pPr>
        <w:pStyle w:val="ListParagraph"/>
        <w:numPr>
          <w:ilvl w:val="0"/>
          <w:numId w:val="6"/>
        </w:numPr>
        <w:spacing w:after="80"/>
      </w:pPr>
      <w:r>
        <w:rPr>
          <w:rFonts w:ascii="Arial" w:cs="Arial" w:eastAsia="Arial" w:hAnsi="Arial"/>
          <w:color w:val="57534E"/>
          <w:sz w:val="22"/>
          <w:szCs w:val="22"/>
        </w:rPr>
        <w:t xml:space="preserve">UM / Authorization Tracking</w:t>
      </w:r>
    </w:p>
    <w:p>
      <w:pPr>
        <w:pStyle w:val="ListParagraph"/>
        <w:numPr>
          <w:ilvl w:val="0"/>
          <w:numId w:val="6"/>
        </w:numPr>
        <w:spacing w:after="80"/>
      </w:pPr>
      <w:r>
        <w:rPr>
          <w:rFonts w:ascii="Arial" w:cs="Arial" w:eastAsia="Arial" w:hAnsi="Arial"/>
          <w:color w:val="57534E"/>
          <w:sz w:val="22"/>
          <w:szCs w:val="22"/>
        </w:rPr>
        <w:t xml:space="preserve">Provider Performance Dashboards with peer benchmarking</w:t>
      </w:r>
    </w:p>
    <w:p>
      <w:pPr>
        <w:pStyle w:val="ListParagraph"/>
        <w:numPr>
          <w:ilvl w:val="0"/>
          <w:numId w:val="6"/>
        </w:numPr>
        <w:spacing w:after="80"/>
      </w:pPr>
      <w:r>
        <w:rPr>
          <w:rFonts w:ascii="Arial" w:cs="Arial" w:eastAsia="Arial" w:hAnsi="Arial"/>
          <w:color w:val="57534E"/>
          <w:sz w:val="22"/>
          <w:szCs w:val="22"/>
        </w:rPr>
        <w:t xml:space="preserve">SDoH Module (ahead of 2027 EHO4all Star Ratings change)</w:t>
      </w:r>
    </w:p>
    <w:p>
      <w:pPr>
        <w:pStyle w:val="ListParagraph"/>
        <w:numPr>
          <w:ilvl w:val="0"/>
          <w:numId w:val="6"/>
        </w:numPr>
        <w:spacing w:after="80"/>
      </w:pPr>
      <w:r>
        <w:rPr>
          <w:rFonts w:ascii="Arial" w:cs="Arial" w:eastAsia="Arial" w:hAnsi="Arial"/>
          <w:color w:val="57534E"/>
          <w:sz w:val="22"/>
          <w:szCs w:val="22"/>
        </w:rPr>
        <w:t xml:space="preserve">Part D / Pharmacy Adherence (triple-weighted Star measures)</w:t>
      </w:r>
    </w:p>
    <w:p>
      <w:pPr>
        <w:pStyle w:val="ListParagraph"/>
        <w:numPr>
          <w:ilvl w:val="0"/>
          <w:numId w:val="6"/>
        </w:numPr>
        <w:spacing w:after="80"/>
      </w:pPr>
      <w:r>
        <w:rPr>
          <w:rFonts w:ascii="Arial" w:cs="Arial" w:eastAsia="Arial" w:hAnsi="Arial"/>
          <w:color w:val="57534E"/>
          <w:sz w:val="22"/>
          <w:szCs w:val="22"/>
        </w:rPr>
        <w:t xml:space="preserve">Credentialing &amp; Provider Network Management</w:t>
      </w:r>
    </w:p>
    <w:p>
      <w:pPr>
        <w:pStyle w:val="ListParagraph"/>
        <w:numPr>
          <w:ilvl w:val="0"/>
          <w:numId w:val="6"/>
        </w:numPr>
        <w:spacing w:after="80"/>
      </w:pPr>
      <w:r>
        <w:rPr>
          <w:rFonts w:ascii="Arial" w:cs="Arial" w:eastAsia="Arial" w:hAnsi="Arial"/>
          <w:color w:val="57534E"/>
          <w:sz w:val="22"/>
          <w:szCs w:val="22"/>
        </w:rPr>
        <w:t xml:space="preserve">Reporting Engine / Regulatory Submissions</w:t>
      </w:r>
    </w:p>
    <w:p>
      <w:pPr>
        <w:pStyle w:val="ListParagraph"/>
        <w:numPr>
          <w:ilvl w:val="0"/>
          <w:numId w:val="6"/>
        </w:numPr>
        <w:spacing w:after="80"/>
      </w:pPr>
      <w:r>
        <w:rPr>
          <w:rFonts w:ascii="Arial" w:cs="Arial" w:eastAsia="Arial" w:hAnsi="Arial"/>
          <w:color w:val="57534E"/>
          <w:sz w:val="22"/>
          <w:szCs w:val="22"/>
        </w:rPr>
        <w:t xml:space="preserve">Compliance / RADV Audit Preparation</w:t>
      </w:r>
    </w:p>
    <w:p>
      <w:pPr>
        <w:pStyle w:val="Heading2"/>
        <w:spacing w:after="120" w:before="240"/>
      </w:pPr>
      <w:r>
        <w:rPr>
          <w:rFonts w:ascii="Arial" w:cs="Arial" w:eastAsia="Arial" w:hAnsi="Arial"/>
          <w:b/>
          <w:bCs/>
          <w:color w:val="1C1917"/>
        </w:rPr>
        <w:t xml:space="preserve">Priority 3 — Later</w:t>
      </w:r>
    </w:p>
    <w:p>
      <w:pPr>
        <w:pStyle w:val="ListParagraph"/>
        <w:numPr>
          <w:ilvl w:val="0"/>
          <w:numId w:val="2"/>
        </w:numPr>
        <w:spacing w:after="80"/>
      </w:pPr>
      <w:r>
        <w:rPr>
          <w:rFonts w:ascii="Arial" w:cs="Arial" w:eastAsia="Arial" w:hAnsi="Arial"/>
          <w:color w:val="57534E"/>
          <w:sz w:val="22"/>
          <w:szCs w:val="22"/>
        </w:rPr>
        <w:t xml:space="preserve">CCM/RPM Integration &amp; Billing</w:t>
      </w:r>
    </w:p>
    <w:p>
      <w:pPr>
        <w:pStyle w:val="ListParagraph"/>
        <w:numPr>
          <w:ilvl w:val="0"/>
          <w:numId w:val="2"/>
        </w:numPr>
        <w:spacing w:after="80"/>
      </w:pPr>
      <w:r>
        <w:rPr>
          <w:rFonts w:ascii="Arial" w:cs="Arial" w:eastAsia="Arial" w:hAnsi="Arial"/>
          <w:color w:val="57534E"/>
          <w:sz w:val="22"/>
          <w:szCs w:val="22"/>
        </w:rPr>
        <w:t xml:space="preserve">Telehealth / Virtual Visit Integration</w:t>
      </w:r>
    </w:p>
    <w:p>
      <w:pPr>
        <w:pStyle w:val="ListParagraph"/>
        <w:numPr>
          <w:ilvl w:val="0"/>
          <w:numId w:val="2"/>
        </w:numPr>
        <w:spacing w:after="80"/>
      </w:pPr>
      <w:r>
        <w:rPr>
          <w:rFonts w:ascii="Arial" w:cs="Arial" w:eastAsia="Arial" w:hAnsi="Arial"/>
          <w:color w:val="57534E"/>
          <w:sz w:val="22"/>
          <w:szCs w:val="22"/>
        </w:rPr>
        <w:t xml:space="preserve">Contract Modeling &amp; Scenario Analysis</w:t>
      </w:r>
    </w:p>
    <w:p>
      <w:pPr>
        <w:pStyle w:val="ListParagraph"/>
        <w:numPr>
          <w:ilvl w:val="0"/>
          <w:numId w:val="2"/>
        </w:numPr>
        <w:spacing w:after="80"/>
      </w:pPr>
      <w:r>
        <w:rPr>
          <w:rFonts w:ascii="Arial" w:cs="Arial" w:eastAsia="Arial" w:hAnsi="Arial"/>
          <w:color w:val="57534E"/>
          <w:sz w:val="22"/>
          <w:szCs w:val="22"/>
        </w:rPr>
        <w:t xml:space="preserve">Patient Portal</w:t>
      </w:r>
    </w:p>
    <w:p>
      <w:r>
        <w:br w:type="page"/>
      </w:r>
    </w:p>
    <w:p>
      <w:pPr>
        <w:pStyle w:val="Heading1"/>
        <w:spacing w:after="120" w:before="360"/>
      </w:pPr>
      <w:r>
        <w:rPr>
          <w:rFonts w:ascii="Arial" w:cs="Arial" w:eastAsia="Arial" w:hAnsi="Arial"/>
          <w:b/>
          <w:bCs/>
          <w:color w:val="1C1917"/>
        </w:rPr>
        <w:t xml:space="preserve">7. Build Phases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Phase</w:t>
            </w:r>
          </w:p>
        </w:tc>
        <w:tc>
          <w:tcPr>
            <w:tcW w:type="dxa" w:w="1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Weeks</w:t>
            </w:r>
          </w:p>
        </w:tc>
        <w:tc>
          <w:tcPr>
            <w:tcW w:type="dxa" w:w="59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Key Deliverables</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0: Foundation</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1–3</w:t>
            </w:r>
          </w:p>
        </w:tc>
        <w:tc>
          <w:tcPr>
            <w:tcW w:type="dxa" w:w="5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Fork OpenEMR, strip PHP frontend, React SPA scaffold, FastAPI container, audit trail, Docker Compose</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1: Clinical Core</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3–8</w:t>
            </w:r>
          </w:p>
        </w:tc>
        <w:tc>
          <w:tcPr>
            <w:tcW w:type="dxa" w:w="5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Schedule/worklist, chart prep, encounter editor, AutoCoder integration, attribution, basic care mgmt</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2: Billing + Quality</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6–12</w:t>
            </w:r>
          </w:p>
        </w:tc>
        <w:tc>
          <w:tcPr>
            <w:tcW w:type="dxa" w:w="5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AIClaim integration, HEDIS/Stars dashboard, MIPS tracking, care gaps, outreach campaigns</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3: Financial Intel</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10–16</w:t>
            </w:r>
          </w:p>
        </w:tc>
        <w:tc>
          <w:tcPr>
            <w:tcW w:type="dxa" w:w="5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Expenditure analytics, drill-downs, AI optimization, cap accounting, transitions of care</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4: Overlay + Ops</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14–20</w:t>
            </w:r>
          </w:p>
        </w:tc>
        <w:tc>
          <w:tcPr>
            <w:tcW w:type="dxa" w:w="5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FHIR overlay for Epic/Cerner, PCC extension v2, referral mgmt, UM/auth tracking, provider dashboards</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5: Data Platform</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18–24</w:t>
            </w:r>
          </w:p>
        </w:tc>
        <w:tc>
          <w:tcPr>
            <w:tcW w:type="dxa" w:w="5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Data ingestion portal, multi-tenant MSO arch, reporting engine, SDoH, Part D adherence</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6: Polish + Launch</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22–28</w:t>
            </w:r>
          </w:p>
        </w:tc>
        <w:tc>
          <w:tcPr>
            <w:tcW w:type="dxa" w:w="5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Design system refinement, onboarding flows, security audit, pilot with own group + first MSO client</w:t>
            </w:r>
          </w:p>
        </w:tc>
      </w:tr>
    </w:tbl>
    <w:p>
      <w:r>
        <w:br w:type="page"/>
      </w:r>
    </w:p>
    <w:p>
      <w:pPr>
        <w:pStyle w:val="Heading1"/>
        <w:spacing w:after="120" w:before="360"/>
      </w:pPr>
      <w:r>
        <w:rPr>
          <w:rFonts w:ascii="Arial" w:cs="Arial" w:eastAsia="Arial" w:hAnsi="Arial"/>
          <w:b/>
          <w:bCs/>
          <w:color w:val="1C1917"/>
        </w:rPr>
        <w:t xml:space="preserve">8. Design Direction</w:t>
      </w:r>
    </w:p>
    <w:p>
      <w:pPr>
        <w:pStyle w:val="Heading2"/>
        <w:spacing w:after="120" w:before="240"/>
      </w:pPr>
      <w:r>
        <w:rPr>
          <w:rFonts w:ascii="Arial" w:cs="Arial" w:eastAsia="Arial" w:hAnsi="Arial"/>
          <w:b/>
          <w:bCs/>
          <w:color w:val="1C1917"/>
        </w:rPr>
        <w:t xml:space="preserve">Aesthetic Specification</w:t>
      </w:r>
    </w:p>
    <w:p>
      <w:pPr>
        <w:pStyle w:val="ListParagraph"/>
        <w:numPr>
          <w:ilvl w:val="0"/>
          <w:numId w:val="3"/>
        </w:numPr>
        <w:spacing w:after="80"/>
      </w:pPr>
      <w:r>
        <w:rPr>
          <w:rFonts w:ascii="Arial" w:cs="Arial" w:eastAsia="Arial" w:hAnsi="Arial"/>
          <w:color w:val="57534E"/>
          <w:sz w:val="22"/>
          <w:szCs w:val="22"/>
        </w:rPr>
        <w:t xml:space="preserve">Palette: Warm stone/sand neutrals (#fafaf9 background, #ffffff surfaces). Light mode default.</w:t>
      </w:r>
    </w:p>
    <w:p>
      <w:pPr>
        <w:pStyle w:val="ListParagraph"/>
        <w:numPr>
          <w:ilvl w:val="0"/>
          <w:numId w:val="3"/>
        </w:numPr>
        <w:spacing w:after="80"/>
      </w:pPr>
      <w:r>
        <w:rPr>
          <w:rFonts w:ascii="Arial" w:cs="Arial" w:eastAsia="Arial" w:hAnsi="Arial"/>
          <w:color w:val="57534E"/>
          <w:sz w:val="22"/>
          <w:szCs w:val="22"/>
        </w:rPr>
        <w:t xml:space="preserve">Accent: Single green (#16a34a) for positive actions. Amber for warnings. Red only for true alerts.</w:t>
      </w:r>
    </w:p>
    <w:p>
      <w:pPr>
        <w:pStyle w:val="ListParagraph"/>
        <w:numPr>
          <w:ilvl w:val="0"/>
          <w:numId w:val="3"/>
        </w:numPr>
        <w:spacing w:after="80"/>
      </w:pPr>
      <w:r>
        <w:rPr>
          <w:rFonts w:ascii="Arial" w:cs="Arial" w:eastAsia="Arial" w:hAnsi="Arial"/>
          <w:color w:val="57534E"/>
          <w:sz w:val="22"/>
          <w:szCs w:val="22"/>
        </w:rPr>
        <w:t xml:space="preserve">Typography: Inter or similar clean sans-serif for body. Monospace for numbers/codes only.</w:t>
      </w:r>
    </w:p>
    <w:p>
      <w:pPr>
        <w:pStyle w:val="ListParagraph"/>
        <w:numPr>
          <w:ilvl w:val="0"/>
          <w:numId w:val="3"/>
        </w:numPr>
        <w:spacing w:after="80"/>
      </w:pPr>
      <w:r>
        <w:rPr>
          <w:rFonts w:ascii="Arial" w:cs="Arial" w:eastAsia="Arial" w:hAnsi="Arial"/>
          <w:color w:val="57534E"/>
          <w:sz w:val="22"/>
          <w:szCs w:val="22"/>
        </w:rPr>
        <w:t xml:space="preserve">Layout: Generous whitespace. Max content width ~1440px. Sidebar navigation.</w:t>
      </w:r>
    </w:p>
    <w:p>
      <w:pPr>
        <w:pStyle w:val="ListParagraph"/>
        <w:numPr>
          <w:ilvl w:val="0"/>
          <w:numId w:val="3"/>
        </w:numPr>
        <w:spacing w:after="80"/>
      </w:pPr>
      <w:r>
        <w:rPr>
          <w:rFonts w:ascii="Arial" w:cs="Arial" w:eastAsia="Arial" w:hAnsi="Arial"/>
          <w:color w:val="57534E"/>
          <w:sz w:val="22"/>
          <w:szCs w:val="22"/>
        </w:rPr>
        <w:t xml:space="preserve">Components: Rounded corners (10px), subtle borders, no heavy shadows.</w:t>
      </w:r>
    </w:p>
    <w:p>
      <w:pPr>
        <w:pStyle w:val="Heading2"/>
        <w:spacing w:after="120" w:before="240"/>
      </w:pPr>
      <w:r>
        <w:rPr>
          <w:rFonts w:ascii="Arial" w:cs="Arial" w:eastAsia="Arial" w:hAnsi="Arial"/>
          <w:b/>
          <w:bCs/>
          <w:color w:val="1C1917"/>
        </w:rPr>
        <w:t xml:space="preserve">What NOT to Do</w:t>
      </w:r>
    </w:p>
    <w:p>
      <w:pPr>
        <w:pStyle w:val="ListParagraph"/>
        <w:numPr>
          <w:ilvl w:val="0"/>
          <w:numId w:val="4"/>
        </w:numPr>
        <w:spacing w:after="80"/>
      </w:pPr>
      <w:r>
        <w:rPr>
          <w:rFonts w:ascii="Arial" w:cs="Arial" w:eastAsia="Arial" w:hAnsi="Arial"/>
          <w:color w:val="57534E"/>
          <w:sz w:val="22"/>
          <w:szCs w:val="22"/>
        </w:rPr>
        <w:t xml:space="preserve">No “AI-POWERED” or “Machine Learning” badges anywhere in the UI</w:t>
      </w:r>
    </w:p>
    <w:p>
      <w:pPr>
        <w:pStyle w:val="ListParagraph"/>
        <w:numPr>
          <w:ilvl w:val="0"/>
          <w:numId w:val="4"/>
        </w:numPr>
        <w:spacing w:after="80"/>
      </w:pPr>
      <w:r>
        <w:rPr>
          <w:rFonts w:ascii="Arial" w:cs="Arial" w:eastAsia="Arial" w:hAnsi="Arial"/>
          <w:color w:val="57534E"/>
          <w:sz w:val="22"/>
          <w:szCs w:val="22"/>
        </w:rPr>
        <w:t xml:space="preserve">No purple glow effects or pulsing dots</w:t>
      </w:r>
    </w:p>
    <w:p>
      <w:pPr>
        <w:pStyle w:val="ListParagraph"/>
        <w:numPr>
          <w:ilvl w:val="0"/>
          <w:numId w:val="4"/>
        </w:numPr>
        <w:spacing w:after="80"/>
      </w:pPr>
      <w:r>
        <w:rPr>
          <w:rFonts w:ascii="Arial" w:cs="Arial" w:eastAsia="Arial" w:hAnsi="Arial"/>
          <w:color w:val="57534E"/>
          <w:sz w:val="22"/>
          <w:szCs w:val="22"/>
        </w:rPr>
        <w:t xml:space="preserve">No dark hacker-terminal aesthetic</w:t>
      </w:r>
    </w:p>
    <w:p>
      <w:pPr>
        <w:pStyle w:val="ListParagraph"/>
        <w:numPr>
          <w:ilvl w:val="0"/>
          <w:numId w:val="4"/>
        </w:numPr>
        <w:spacing w:after="80"/>
      </w:pPr>
      <w:r>
        <w:rPr>
          <w:rFonts w:ascii="Arial" w:cs="Arial" w:eastAsia="Arial" w:hAnsi="Arial"/>
          <w:color w:val="57534E"/>
          <w:sz w:val="22"/>
          <w:szCs w:val="22"/>
        </w:rPr>
        <w:t xml:space="preserve">No rainbow of status colors</w:t>
      </w:r>
    </w:p>
    <w:p>
      <w:pPr>
        <w:pStyle w:val="ListParagraph"/>
        <w:numPr>
          <w:ilvl w:val="0"/>
          <w:numId w:val="4"/>
        </w:numPr>
        <w:spacing w:after="80"/>
      </w:pPr>
      <w:r>
        <w:rPr>
          <w:rFonts w:ascii="Arial" w:cs="Arial" w:eastAsia="Arial" w:hAnsi="Arial"/>
          <w:color w:val="57534E"/>
          <w:sz w:val="22"/>
          <w:szCs w:val="22"/>
        </w:rPr>
        <w:t xml:space="preserve">No animations that don’t serve a functional purpose</w:t>
      </w:r>
    </w:p>
    <w:p>
      <w:pPr>
        <w:pStyle w:val="ListParagraph"/>
        <w:numPr>
          <w:ilvl w:val="0"/>
          <w:numId w:val="4"/>
        </w:numPr>
        <w:spacing w:after="80"/>
      </w:pPr>
      <w:r>
        <w:rPr>
          <w:rFonts w:ascii="Arial" w:cs="Arial" w:eastAsia="Arial" w:hAnsi="Arial"/>
          <w:color w:val="57534E"/>
          <w:sz w:val="22"/>
          <w:szCs w:val="22"/>
        </w:rPr>
        <w:t xml:space="preserve">No feature labels that reference the technology (“LLM Triage” becomes “Smart Notes”)</w:t>
      </w:r>
    </w:p>
    <w:p>
      <w:pPr>
        <w:pStyle w:val="Heading2"/>
        <w:spacing w:after="120" w:before="240"/>
      </w:pPr>
      <w:r>
        <w:rPr>
          <w:rFonts w:ascii="Arial" w:cs="Arial" w:eastAsia="Arial" w:hAnsi="Arial"/>
          <w:b/>
          <w:bCs/>
          <w:color w:val="1C1917"/>
        </w:rPr>
        <w:t xml:space="preserve">Inspiration</w:t>
      </w:r>
    </w:p>
    <w:p>
      <w:pPr>
        <w:pStyle w:val="ListParagraph"/>
        <w:numPr>
          <w:ilvl w:val="0"/>
          <w:numId w:val="5"/>
        </w:numPr>
        <w:spacing w:after="80"/>
      </w:pPr>
      <w:r>
        <w:rPr>
          <w:rFonts w:ascii="Arial" w:cs="Arial" w:eastAsia="Arial" w:hAnsi="Arial"/>
          <w:color w:val="57534E"/>
          <w:sz w:val="22"/>
          <w:szCs w:val="22"/>
        </w:rPr>
        <w:t xml:space="preserve">Linear (app.linear.app) — issue tracking with invisible AI</w:t>
      </w:r>
    </w:p>
    <w:p>
      <w:pPr>
        <w:pStyle w:val="ListParagraph"/>
        <w:numPr>
          <w:ilvl w:val="0"/>
          <w:numId w:val="5"/>
        </w:numPr>
        <w:spacing w:after="80"/>
      </w:pPr>
      <w:r>
        <w:rPr>
          <w:rFonts w:ascii="Arial" w:cs="Arial" w:eastAsia="Arial" w:hAnsi="Arial"/>
          <w:color w:val="57534E"/>
          <w:sz w:val="22"/>
          <w:szCs w:val="22"/>
        </w:rPr>
        <w:t xml:space="preserve">Vercel dashboard — deployment complexity made calm</w:t>
      </w:r>
    </w:p>
    <w:p>
      <w:pPr>
        <w:pStyle w:val="ListParagraph"/>
        <w:numPr>
          <w:ilvl w:val="0"/>
          <w:numId w:val="5"/>
        </w:numPr>
        <w:spacing w:after="80"/>
      </w:pPr>
      <w:r>
        <w:rPr>
          <w:rFonts w:ascii="Arial" w:cs="Arial" w:eastAsia="Arial" w:hAnsi="Arial"/>
          <w:color w:val="57534E"/>
          <w:sz w:val="22"/>
          <w:szCs w:val="22"/>
        </w:rPr>
        <w:t xml:space="preserve">Stripe dashboard — financial complexity made clear</w:t>
      </w:r>
    </w:p>
    <w:p>
      <w:pPr>
        <w:pStyle w:val="ListParagraph"/>
        <w:numPr>
          <w:ilvl w:val="0"/>
          <w:numId w:val="5"/>
        </w:numPr>
        <w:spacing w:after="80"/>
      </w:pPr>
      <w:r>
        <w:rPr>
          <w:rFonts w:ascii="Arial" w:cs="Arial" w:eastAsia="Arial" w:hAnsi="Arial"/>
          <w:color w:val="57534E"/>
          <w:sz w:val="22"/>
          <w:szCs w:val="22"/>
        </w:rPr>
        <w:t xml:space="preserve">Mercury (mercury.com) — banking made beautiful</w:t>
      </w:r>
    </w:p>
    <w:p>
      <w:pPr>
        <w:pStyle w:val="ListParagraph"/>
        <w:numPr>
          <w:ilvl w:val="0"/>
          <w:numId w:val="5"/>
        </w:numPr>
        <w:spacing w:after="80"/>
      </w:pPr>
      <w:r>
        <w:rPr>
          <w:rFonts w:ascii="Arial" w:cs="Arial" w:eastAsia="Arial" w:hAnsi="Arial"/>
          <w:color w:val="57534E"/>
          <w:sz w:val="22"/>
          <w:szCs w:val="22"/>
        </w:rPr>
        <w:t xml:space="preserve">Notion — information architecture done right</w:t>
      </w:r>
    </w:p>
    <w:p>
      <w:pPr>
        <w:spacing w:after="160"/>
      </w:pPr>
      <w:r>
        <w:rPr>
          <w:rFonts w:ascii="Arial" w:cs="Arial" w:eastAsia="Arial" w:hAnsi="Arial"/>
          <w:i/>
          <w:iCs/>
          <w:color w:val="57534E"/>
          <w:sz w:val="22"/>
          <w:szCs w:val="22"/>
        </w:rPr>
        <w:t xml:space="preserve">Two design prototypes are included in the package: design-reset.jsx (encounter view) and platform-redesign.jsx (full platform with sidebar navigation). These represent the target aesthetic direction.</w:t>
      </w:r>
    </w:p>
    <w:p>
      <w:r>
        <w:br w:type="page"/>
      </w:r>
    </w:p>
    <w:p>
      <w:pPr>
        <w:pStyle w:val="Heading1"/>
        <w:spacing w:after="120" w:before="360"/>
      </w:pPr>
      <w:r>
        <w:rPr>
          <w:rFonts w:ascii="Arial" w:cs="Arial" w:eastAsia="Arial" w:hAnsi="Arial"/>
          <w:b/>
          <w:bCs/>
          <w:color w:val="1C1917"/>
        </w:rPr>
        <w:t xml:space="preserve">9. Revenue Model &amp; Projections</w:t>
      </w:r>
    </w:p>
    <w:p>
      <w:pPr>
        <w:pStyle w:val="Heading2"/>
        <w:spacing w:after="120" w:before="240"/>
      </w:pPr>
      <w:r>
        <w:rPr>
          <w:rFonts w:ascii="Arial" w:cs="Arial" w:eastAsia="Arial" w:hAnsi="Arial"/>
          <w:b/>
          <w:bCs/>
          <w:color w:val="1C1917"/>
        </w:rPr>
        <w:t xml:space="preserve">MSO Client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Stream</w:t>
            </w:r>
          </w:p>
        </w:tc>
        <w:tc>
          <w:tcPr>
            <w:tcW w:type="dxa" w:w="328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Pricing</w:t>
            </w:r>
          </w:p>
        </w:tc>
        <w:tc>
          <w:tcPr>
            <w:tcW w:type="dxa" w:w="328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Annual / 5K-Life Client</w:t>
            </w:r>
          </w:p>
        </w:tc>
      </w:tr>
      <w:tr>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Platform License</w:t>
            </w:r>
          </w:p>
        </w:tc>
        <w:tc>
          <w:tcPr>
            <w:tcW w:type="dxa" w:w="32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$2–4 PMPM</w:t>
            </w:r>
          </w:p>
        </w:tc>
        <w:tc>
          <w:tcPr>
            <w:tcW w:type="dxa" w:w="32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$120–240K</w:t>
            </w:r>
          </w:p>
        </w:tc>
      </w:tr>
      <w:tr>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Per-HCC Capture Fee</w:t>
            </w:r>
          </w:p>
        </w:tc>
        <w:tc>
          <w:tcPr>
            <w:tcW w:type="dxa" w:w="32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$15–25 per new capture</w:t>
            </w:r>
          </w:p>
        </w:tc>
        <w:tc>
          <w:tcPr>
            <w:tcW w:type="dxa" w:w="32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$30–50K</w:t>
            </w:r>
          </w:p>
        </w:tc>
      </w:tr>
      <w:tr>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SNF Admit Processing</w:t>
            </w:r>
          </w:p>
        </w:tc>
        <w:tc>
          <w:tcPr>
            <w:tcW w:type="dxa" w:w="32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$50–75 per admission</w:t>
            </w:r>
          </w:p>
        </w:tc>
        <w:tc>
          <w:tcPr>
            <w:tcW w:type="dxa" w:w="32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$15–23K</w:t>
            </w:r>
          </w:p>
        </w:tc>
      </w:tr>
      <w:tr>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AIClaim Pass-Through</w:t>
            </w:r>
          </w:p>
        </w:tc>
        <w:tc>
          <w:tcPr>
            <w:tcW w:type="dxa" w:w="32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Markup on denial prevention</w:t>
            </w:r>
          </w:p>
        </w:tc>
        <w:tc>
          <w:tcPr>
            <w:tcW w:type="dxa" w:w="32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$12–24K</w:t>
            </w:r>
          </w:p>
        </w:tc>
      </w:tr>
      <w:tr>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Revenue Share (optional)</w:t>
            </w:r>
          </w:p>
        </w:tc>
        <w:tc>
          <w:tcPr>
            <w:tcW w:type="dxa" w:w="32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8–12% of documented RAF uplift</w:t>
            </w:r>
          </w:p>
        </w:tc>
        <w:tc>
          <w:tcPr>
            <w:tcW w:type="dxa" w:w="32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Variable</w:t>
            </w:r>
          </w:p>
        </w:tc>
      </w:tr>
    </w:tbl>
    <w:p>
      <w:pPr>
        <w:spacing w:after="200"/>
      </w:pPr>
    </w:p>
    <w:p>
      <w:pPr>
        <w:pStyle w:val="Heading2"/>
        <w:spacing w:after="120" w:before="240"/>
      </w:pPr>
      <w:r>
        <w:rPr>
          <w:rFonts w:ascii="Arial" w:cs="Arial" w:eastAsia="Arial" w:hAnsi="Arial"/>
          <w:b/>
          <w:bCs/>
          <w:color w:val="1C1917"/>
        </w:rPr>
        <w:t xml:space="preserve">Growth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Milestone</w:t>
            </w:r>
          </w:p>
        </w:tc>
        <w:tc>
          <w:tcPr>
            <w:tcW w:type="dxa" w:w="288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Timeline</w:t>
            </w:r>
          </w:p>
        </w:tc>
        <w:tc>
          <w:tcPr>
            <w:tcW w:type="dxa" w:w="288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ARR</w:t>
            </w:r>
          </w:p>
        </w:tc>
      </w:tr>
      <w:tr>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Pilot (own group + 1 MSO)</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Months 1–6</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$50–100K</w:t>
            </w:r>
          </w:p>
        </w:tc>
      </w:tr>
      <w:tr>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3 MSO clients (avg 3K lives)</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Months 6–12</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$300–500K</w:t>
            </w:r>
          </w:p>
        </w:tc>
      </w:tr>
      <w:tr>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8 MSO + 5 direct groups</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Months 12–18</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$800K–$1.2M</w:t>
            </w:r>
          </w:p>
        </w:tc>
      </w:tr>
      <w:tr>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15 MSO + 10 direct groups</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Months 18–24</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$2–3M</w:t>
            </w:r>
          </w:p>
        </w:tc>
      </w:tr>
    </w:tbl>
    <w:p>
      <w:r>
        <w:br w:type="page"/>
      </w:r>
    </w:p>
    <w:p>
      <w:pPr>
        <w:pStyle w:val="Heading1"/>
        <w:spacing w:after="120" w:before="360"/>
      </w:pPr>
      <w:r>
        <w:rPr>
          <w:rFonts w:ascii="Arial" w:cs="Arial" w:eastAsia="Arial" w:hAnsi="Arial"/>
          <w:b/>
          <w:bCs/>
          <w:color w:val="1C1917"/>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Risk</w:t>
            </w:r>
          </w:p>
        </w:tc>
        <w:tc>
          <w:tcPr>
            <w:tcW w:type="dxa" w:w="1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Impact</w:t>
            </w:r>
          </w:p>
        </w:tc>
        <w:tc>
          <w:tcPr>
            <w:tcW w:type="dxa" w:w="57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Mitigation</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OpenEMR fork maintenance</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High</w:t>
            </w:r>
          </w:p>
        </w:tc>
        <w:tc>
          <w:tcPr>
            <w:tcW w:type="dxa" w:w="5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Keep fork minimal. Only use what’s needed.</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AIClaim dependency</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Medium</w:t>
            </w:r>
          </w:p>
        </w:tc>
        <w:tc>
          <w:tcPr>
            <w:tcW w:type="dxa" w:w="5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Abstract behind interface. Could build internal if needed.</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RADV audit scrutiny on AI captures</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High</w:t>
            </w:r>
          </w:p>
        </w:tc>
        <w:tc>
          <w:tcPr>
            <w:tcW w:type="dxa" w:w="5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MEAT evidence trail baked in. Physician review required.</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Provider adoption resistance</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Medium</w:t>
            </w:r>
          </w:p>
        </w:tc>
        <w:tc>
          <w:tcPr>
            <w:tcW w:type="dxa" w:w="5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Overlay = no workflow change. Start with documentation value.</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Data quality from MSO ingestion</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High</w:t>
            </w:r>
          </w:p>
        </w:tc>
        <w:tc>
          <w:tcPr>
            <w:tcW w:type="dxa" w:w="5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AI mapping + validation + human review for first import.</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HIPAA/PHI security</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Critical</w:t>
            </w:r>
          </w:p>
        </w:tc>
        <w:tc>
          <w:tcPr>
            <w:tcW w:type="dxa" w:w="5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redact.health pipeline. BAA with every client. Annual pen testing.</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CMS V28 model changes</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Medium</w:t>
            </w:r>
          </w:p>
        </w:tc>
        <w:tc>
          <w:tcPr>
            <w:tcW w:type="dxa" w:w="5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RAF service modular. Update data files when CMS publishes.</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Competition from incumbents</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Medium</w:t>
            </w:r>
          </w:p>
        </w:tc>
        <w:tc>
          <w:tcPr>
            <w:tcW w:type="dxa" w:w="57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Speed + specialization. Managed care focus, not general EHR.</w:t>
            </w:r>
          </w:p>
        </w:tc>
      </w:tr>
    </w:tbl>
    <w:p>
      <w:r>
        <w:br w:type="page"/>
      </w:r>
    </w:p>
    <w:p>
      <w:pPr>
        <w:pStyle w:val="Heading1"/>
        <w:spacing w:after="120" w:before="360"/>
      </w:pPr>
      <w:r>
        <w:rPr>
          <w:rFonts w:ascii="Arial" w:cs="Arial" w:eastAsia="Arial" w:hAnsi="Arial"/>
          <w:b/>
          <w:bCs/>
          <w:color w:val="1C1917"/>
        </w:rPr>
        <w:t xml:space="preserve">11. Deliverable Index</w:t>
      </w:r>
    </w:p>
    <w:p>
      <w:pPr>
        <w:spacing w:after="160"/>
      </w:pPr>
      <w:r>
        <w:rPr>
          <w:rFonts w:ascii="Arial" w:cs="Arial" w:eastAsia="Arial" w:hAnsi="Arial"/>
          <w:color w:val="57534E"/>
          <w:sz w:val="22"/>
          <w:szCs w:val="22"/>
        </w:rPr>
        <w:t xml:space="preserve">All files are included in the accompanying package. Interactive prototypes (.jsx) can be viewed by pasting into Claude.ai or any React playground.</w:t>
      </w:r>
    </w:p>
    <w:p>
      <w:pPr>
        <w:pStyle w:val="Heading2"/>
        <w:spacing w:after="120" w:before="240"/>
      </w:pPr>
      <w:r>
        <w:rPr>
          <w:rFonts w:ascii="Arial" w:cs="Arial" w:eastAsia="Arial" w:hAnsi="Arial"/>
          <w:b/>
          <w:bCs/>
          <w:color w:val="1C1917"/>
        </w:rPr>
        <w:t xml:space="preserve">Interactive UI Prototypes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File</w:t>
            </w:r>
          </w:p>
        </w:tc>
        <w:tc>
          <w:tcPr>
            <w:tcW w:type="dxa" w:w="61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Description</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platform-redesign.jsx</w:t>
            </w:r>
          </w:p>
        </w:tc>
        <w:tc>
          <w:tcPr>
            <w:tcW w:type="dxa" w:w="6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MAIN: Full platform in clean design — Schedule (calendar + worklist), Quality, Expenditures, Operations, Data Ingestion with sidebar nav</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design-reset-full.jsx</w:t>
            </w:r>
          </w:p>
        </w:tc>
        <w:tc>
          <w:tcPr>
            <w:tcW w:type="dxa" w:w="6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Full encounter workflow: Schedule → Chart Prep → Encounter → Coding → Billing in clean design</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design-reset.jsx</w:t>
            </w:r>
          </w:p>
        </w:tc>
        <w:tc>
          <w:tcPr>
            <w:tcW w:type="dxa" w:w="6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Encounter view design direction — invisible AI aesthetic</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ai-health-platform.jsx</w:t>
            </w:r>
          </w:p>
        </w:tc>
        <w:tc>
          <w:tcPr>
            <w:tcW w:type="dxa" w:w="6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Earlier 6-step workflow (dark mode — superseded by clean design)</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quality-dashboard.jsx</w:t>
            </w:r>
          </w:p>
        </w:tc>
        <w:tc>
          <w:tcPr>
            <w:tcW w:type="dxa" w:w="6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Quality module: Star Ratings, HEDIS, MIPS, Expenditures, Care Gaps</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expenditure-drilldown.jsx</w:t>
            </w:r>
          </w:p>
        </w:tc>
        <w:tc>
          <w:tcPr>
            <w:tcW w:type="dxa" w:w="6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Deep expenditure drill-down with AI optimization per category</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data-ingestion.jsx</w:t>
            </w:r>
          </w:p>
        </w:tc>
        <w:tc>
          <w:tcPr>
            <w:tcW w:type="dxa" w:w="6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Data ingestion portal with AI column mapping and feed management</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operations-modules.jsx</w:t>
            </w:r>
          </w:p>
        </w:tc>
        <w:tc>
          <w:tcPr>
            <w:tcW w:type="dxa" w:w="6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Care Management, Attribution, Transitions, Outreach Campaigns</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openemr-hcc-concept.jsx</w:t>
            </w:r>
          </w:p>
        </w:tc>
        <w:tc>
          <w:tcPr>
            <w:tcW w:type="dxa" w:w="6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Initial HCC workstation concept (early exploration)</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openemr-hcc-platform.jsx</w:t>
            </w:r>
          </w:p>
        </w:tc>
        <w:tc>
          <w:tcPr>
            <w:tcW w:type="dxa" w:w="6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Expanded platform with SNF/overlay/MSO modes (early exploration)</w:t>
            </w:r>
          </w:p>
        </w:tc>
      </w:tr>
    </w:tbl>
    <w:p>
      <w:pPr>
        <w:spacing w:after="200"/>
      </w:pPr>
    </w:p>
    <w:p>
      <w:pPr>
        <w:pStyle w:val="Heading2"/>
        <w:spacing w:after="120" w:before="240"/>
      </w:pPr>
      <w:r>
        <w:rPr>
          <w:rFonts w:ascii="Arial" w:cs="Arial" w:eastAsia="Arial" w:hAnsi="Arial"/>
          <w:b/>
          <w:bCs/>
          <w:color w:val="1C1917"/>
        </w:rPr>
        <w:t xml:space="preserve">Backend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c>
          <w:tcPr>
            <w:tcW w:type="dxa" w:w="26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File</w:t>
            </w:r>
          </w:p>
        </w:tc>
        <w:tc>
          <w:tcPr>
            <w:tcW w:type="dxa" w:w="8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Lines</w:t>
            </w:r>
          </w:p>
        </w:tc>
        <w:tc>
          <w:tcPr>
            <w:tcW w:type="dxa" w:w="59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Description</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occ_parser.py</w:t>
            </w:r>
          </w:p>
        </w:tc>
        <w:tc>
          <w:tcPr>
            <w:tcW w:type="dxa" w:w="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1,002</w:t>
            </w:r>
          </w:p>
        </w:tc>
        <w:tc>
          <w:tcPr>
            <w:tcW w:type="dxa" w:w="5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OCC/MDS assessment parser — maps MDS 3.0 Sections B, C, D, GG, I, J, K, M to ICD-10 codes and HCC suspects</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overlay_fhir.py</w:t>
            </w:r>
          </w:p>
        </w:tc>
        <w:tc>
          <w:tcPr>
            <w:tcW w:type="dxa" w:w="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617</w:t>
            </w:r>
          </w:p>
        </w:tc>
        <w:tc>
          <w:tcPr>
            <w:tcW w:type="dxa" w:w="5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FHIR R4 overlay client — async SMART-on-FHIR auth, patient data extraction, med-dx gap detection, lab suspects, RAF calc</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chart_prep.py</w:t>
            </w:r>
          </w:p>
        </w:tc>
        <w:tc>
          <w:tcPr>
            <w:tcW w:type="dxa" w:w="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310</w:t>
            </w:r>
          </w:p>
        </w:tc>
        <w:tc>
          <w:tcPr>
            <w:tcW w:type="dxa" w:w="5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FastAPI chart prep endpoint — receives PCC dashboard scrape, runs HCC analysis pipeline</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pcc-highlighter.js</w:t>
            </w:r>
          </w:p>
        </w:tc>
        <w:tc>
          <w:tcPr>
            <w:tcW w:type="dxa" w:w="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~400</w:t>
            </w:r>
          </w:p>
        </w:tc>
        <w:tc>
          <w:tcPr>
            <w:tcW w:type="dxa" w:w="5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PCC auto-highlighting module — Phase 1 regex + Phase 2 LLM triage for note importance</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dashboard-scraper.js</w:t>
            </w:r>
          </w:p>
        </w:tc>
        <w:tc>
          <w:tcPr>
            <w:tcW w:type="dxa" w:w="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~500</w:t>
            </w:r>
          </w:p>
        </w:tc>
        <w:tc>
          <w:tcPr>
            <w:tcW w:type="dxa" w:w="5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PCC dashboard scraper — Quick Scan + Deep Scan with note click-through</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llm_triage.py</w:t>
            </w:r>
          </w:p>
        </w:tc>
        <w:tc>
          <w:tcPr>
            <w:tcW w:type="dxa" w:w="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~120</w:t>
            </w:r>
          </w:p>
        </w:tc>
        <w:tc>
          <w:tcPr>
            <w:tcW w:type="dxa" w:w="59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FastAPI endpoint for Haiku-based note snippet classification</w:t>
            </w:r>
          </w:p>
        </w:tc>
      </w:tr>
    </w:tbl>
    <w:p>
      <w:pPr>
        <w:spacing w:after="200"/>
      </w:pPr>
    </w:p>
    <w:p>
      <w:pPr>
        <w:pStyle w:val="Heading2"/>
        <w:spacing w:after="120" w:before="240"/>
      </w:pPr>
      <w:r>
        <w:rPr>
          <w:rFonts w:ascii="Arial" w:cs="Arial" w:eastAsia="Arial" w:hAnsi="Arial"/>
          <w:b/>
          <w:bCs/>
          <w:color w:val="1C1917"/>
        </w:rPr>
        <w:t xml:space="preserve">Planning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File</w:t>
            </w:r>
          </w:p>
        </w:tc>
        <w:tc>
          <w:tcPr>
            <w:tcW w:type="dxa" w:w="61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Description</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master-plan.md</w:t>
            </w:r>
          </w:p>
        </w:tc>
        <w:tc>
          <w:tcPr>
            <w:tcW w:type="dxa" w:w="6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9-section master product plan (this document in markdown)</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fork-scope.md</w:t>
            </w:r>
          </w:p>
        </w:tc>
        <w:tc>
          <w:tcPr>
            <w:tcW w:type="dxa" w:w="6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OpenEMR fork scope — what to keep, gut, and build new with SQL schemas</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gap-analysis.md</w:t>
            </w:r>
          </w:p>
        </w:tc>
        <w:tc>
          <w:tcPr>
            <w:tcW w:type="dxa" w:w="6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21 modules not yet built, organized by priority with full specifications</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platform-architecture.md</w:t>
            </w:r>
          </w:p>
        </w:tc>
        <w:tc>
          <w:tcPr>
            <w:tcW w:type="dxa" w:w="61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b w:val="false"/>
                <w:bCs w:val="false"/>
                <w:color w:val="57534E"/>
                <w:sz w:val="20"/>
                <w:szCs w:val="20"/>
              </w:rPr>
              <w:t xml:space="preserve">Technical architecture, integration plan, competitive positioning</w:t>
            </w:r>
          </w:p>
        </w:tc>
      </w:tr>
    </w:tbl>
    <w:p>
      <w:r>
        <w:br w:type="page"/>
      </w:r>
    </w:p>
    <w:p>
      <w:pPr>
        <w:pStyle w:val="Heading1"/>
        <w:spacing w:after="120" w:before="360"/>
      </w:pPr>
      <w:r>
        <w:rPr>
          <w:rFonts w:ascii="Arial" w:cs="Arial" w:eastAsia="Arial" w:hAnsi="Arial"/>
          <w:b/>
          <w:bCs/>
          <w:color w:val="1C1917"/>
        </w:rPr>
        <w:t xml:space="preserve">12. Immediate Next Steps</w:t>
      </w:r>
    </w:p>
    <w:p>
      <w:pPr>
        <w:spacing w:after="160"/>
      </w:pPr>
      <w:r>
        <w:rPr>
          <w:rFonts w:ascii="Arial" w:cs="Arial" w:eastAsia="Arial" w:hAnsi="Arial"/>
          <w:b/>
          <w:bCs/>
          <w:color w:val="1C1917"/>
          <w:sz w:val="22"/>
          <w:szCs w:val="22"/>
        </w:rPr>
        <w:t xml:space="preserve">1. Share this document + design prototypes with AQSoft.AI partners. </w:t>
      </w:r>
      <w:r>
        <w:rPr>
          <w:rFonts w:ascii="Arial" w:cs="Arial" w:eastAsia="Arial" w:hAnsi="Arial"/>
          <w:color w:val="57534E"/>
          <w:sz w:val="22"/>
          <w:szCs w:val="22"/>
        </w:rPr>
        <w:t xml:space="preserve">Get alignment on vision, scope, resource commitment, and ownership split.</w:t>
      </w:r>
    </w:p>
    <w:p>
      <w:pPr>
        <w:spacing w:after="160"/>
      </w:pPr>
      <w:r>
        <w:rPr>
          <w:rFonts w:ascii="Arial" w:cs="Arial" w:eastAsia="Arial" w:hAnsi="Arial"/>
          <w:b/>
          <w:bCs/>
          <w:color w:val="1C1917"/>
          <w:sz w:val="22"/>
          <w:szCs w:val="22"/>
        </w:rPr>
        <w:t xml:space="preserve">2. Deploy SNF Admit Assist for own patient panel. </w:t>
      </w:r>
      <w:r>
        <w:rPr>
          <w:rFonts w:ascii="Arial" w:cs="Arial" w:eastAsia="Arial" w:hAnsi="Arial"/>
          <w:color w:val="57534E"/>
          <w:sz w:val="22"/>
          <w:szCs w:val="22"/>
        </w:rPr>
        <w:t xml:space="preserve">Start generating clinical value and validation data immediately.</w:t>
      </w:r>
    </w:p>
    <w:p>
      <w:pPr>
        <w:spacing w:after="160"/>
      </w:pPr>
      <w:r>
        <w:rPr>
          <w:rFonts w:ascii="Arial" w:cs="Arial" w:eastAsia="Arial" w:hAnsi="Arial"/>
          <w:b/>
          <w:bCs/>
          <w:color w:val="1C1917"/>
          <w:sz w:val="22"/>
          <w:szCs w:val="22"/>
        </w:rPr>
        <w:t xml:space="preserve">3. PCC Chrome Extension v2. </w:t>
      </w:r>
      <w:r>
        <w:rPr>
          <w:rFonts w:ascii="Arial" w:cs="Arial" w:eastAsia="Arial" w:hAnsi="Arial"/>
          <w:color w:val="57534E"/>
          <w:sz w:val="22"/>
          <w:szCs w:val="22"/>
        </w:rPr>
        <w:t xml:space="preserve">Add dashboard scraper, smart highlighter, chart prep endpoint. Test on real PCC pages.</w:t>
      </w:r>
    </w:p>
    <w:p>
      <w:pPr>
        <w:spacing w:after="160"/>
      </w:pPr>
      <w:r>
        <w:rPr>
          <w:rFonts w:ascii="Arial" w:cs="Arial" w:eastAsia="Arial" w:hAnsi="Arial"/>
          <w:b/>
          <w:bCs/>
          <w:color w:val="1C1917"/>
          <w:sz w:val="22"/>
          <w:szCs w:val="22"/>
        </w:rPr>
        <w:t xml:space="preserve">4. Fork OpenEMR 8.0. </w:t>
      </w:r>
      <w:r>
        <w:rPr>
          <w:rFonts w:ascii="Arial" w:cs="Arial" w:eastAsia="Arial" w:hAnsi="Arial"/>
          <w:color w:val="57534E"/>
          <w:sz w:val="22"/>
          <w:szCs w:val="22"/>
        </w:rPr>
        <w:t xml:space="preserve">Clone, strip frontend, set up React SPA scaffold with auth integration.</w:t>
      </w:r>
    </w:p>
    <w:p>
      <w:pPr>
        <w:spacing w:after="160"/>
      </w:pPr>
      <w:r>
        <w:rPr>
          <w:rFonts w:ascii="Arial" w:cs="Arial" w:eastAsia="Arial" w:hAnsi="Arial"/>
          <w:b/>
          <w:bCs/>
          <w:color w:val="1C1917"/>
          <w:sz w:val="22"/>
          <w:szCs w:val="22"/>
        </w:rPr>
        <w:t xml:space="preserve">5. Build design system component library. </w:t>
      </w:r>
      <w:r>
        <w:rPr>
          <w:rFonts w:ascii="Arial" w:cs="Arial" w:eastAsia="Arial" w:hAnsi="Arial"/>
          <w:color w:val="57534E"/>
          <w:sz w:val="22"/>
          <w:szCs w:val="22"/>
        </w:rPr>
        <w:t xml:space="preserve">Match the clean/warm aesthetic from design-reset prototypes.</w:t>
      </w:r>
    </w:p>
    <w:p>
      <w:pPr>
        <w:spacing w:after="160"/>
      </w:pPr>
      <w:r>
        <w:rPr>
          <w:rFonts w:ascii="Arial" w:cs="Arial" w:eastAsia="Arial" w:hAnsi="Arial"/>
          <w:b/>
          <w:bCs/>
          <w:color w:val="1C1917"/>
          <w:sz w:val="22"/>
          <w:szCs w:val="22"/>
        </w:rPr>
        <w:t xml:space="preserve">6. First MSO data ingestion. </w:t>
      </w:r>
      <w:r>
        <w:rPr>
          <w:rFonts w:ascii="Arial" w:cs="Arial" w:eastAsia="Arial" w:hAnsi="Arial"/>
          <w:color w:val="57534E"/>
          <w:sz w:val="22"/>
          <w:szCs w:val="22"/>
        </w:rPr>
        <w:t xml:space="preserve">Get Sunstate/FMG roster + claims data into the platform. Prove analytics on real data.</w:t>
      </w:r>
    </w:p>
    <w:p>
      <w:pPr>
        <w:spacing w:after="160"/>
      </w:pPr>
      <w:r>
        <w:rPr>
          <w:rFonts w:ascii="Arial" w:cs="Arial" w:eastAsia="Arial" w:hAnsi="Arial"/>
          <w:b/>
          <w:bCs/>
          <w:color w:val="1C1917"/>
          <w:sz w:val="22"/>
          <w:szCs w:val="22"/>
        </w:rPr>
        <w:t xml:space="preserve">7. Define AQSoft.AI API contract. </w:t>
      </w:r>
      <w:r>
        <w:rPr>
          <w:rFonts w:ascii="Arial" w:cs="Arial" w:eastAsia="Arial" w:hAnsi="Arial"/>
          <w:color w:val="57534E"/>
          <w:sz w:val="22"/>
          <w:szCs w:val="22"/>
        </w:rPr>
        <w:t xml:space="preserve">How does AutoCoder get called? Input/output schema. Hosting architecture.</w:t>
      </w:r>
    </w:p>
    <w:p>
      <w:pPr>
        <w:spacing w:after="200"/>
      </w:pPr>
    </w:p>
    <w:p>
      <w:pPr>
        <w:spacing w:after="200"/>
      </w:pPr>
    </w:p>
    <w:p>
      <w:pPr>
        <w:spacing w:before="400"/>
        <w:jc w:val="center"/>
      </w:pPr>
      <w:r>
        <w:rPr>
          <w:rFonts w:ascii="Arial" w:cs="Arial" w:eastAsia="Arial" w:hAnsi="Arial"/>
          <w:i/>
          <w:iCs/>
          <w:color w:val="A8A29E"/>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C191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C191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C19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2026-03-24T02:53:01.682Z</dcterms:created>
  <dcterms:modified xsi:type="dcterms:W3CDTF">2026-03-24T02:53:01.683Z</dcterms:modified>
</cp:coreProperties>
</file>

<file path=docProps/custom.xml><?xml version="1.0" encoding="utf-8"?>
<Properties xmlns="http://schemas.openxmlformats.org/officeDocument/2006/custom-properties" xmlns:vt="http://schemas.openxmlformats.org/officeDocument/2006/docPropsVTypes"/>
</file>