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8F913" w14:textId="4719E980" w:rsidR="0004644B" w:rsidRPr="004C6913" w:rsidRDefault="0004644B" w:rsidP="0004644B">
      <w:pPr>
        <w:jc w:val="both"/>
      </w:pPr>
      <w:r w:rsidRPr="0004644B">
        <w:rPr>
          <w:b/>
          <w:bCs/>
          <w:u w:val="single"/>
        </w:rPr>
        <w:t>AIRBNB – SERVIÇO DE HOSPEDAGEM A</w:t>
      </w:r>
      <w:r>
        <w:rPr>
          <w:b/>
          <w:bCs/>
          <w:u w:val="single"/>
        </w:rPr>
        <w:t xml:space="preserve">TÍPICA - </w:t>
      </w:r>
      <w:r w:rsidRPr="0004644B">
        <w:rPr>
          <w:b/>
          <w:bCs/>
        </w:rPr>
        <w:t xml:space="preserve">REsp 1819075/RS, Rel. </w:t>
      </w:r>
      <w:r w:rsidRPr="004C6913">
        <w:rPr>
          <w:b/>
          <w:bCs/>
        </w:rPr>
        <w:t>Ministro LUIS FELIPE SALOMÃO, Rel. p/ Acórdão Ministro RAUL ARAÚJO, QUARTA TURMA, julgado em 20/04/2021, DJe 27/05/2021</w:t>
      </w:r>
    </w:p>
    <w:p w14:paraId="54A40B79" w14:textId="77777777" w:rsidR="0004644B" w:rsidRDefault="0004644B" w:rsidP="00222D59">
      <w:pPr>
        <w:jc w:val="both"/>
        <w:rPr>
          <w:b/>
          <w:bCs/>
          <w:u w:val="single"/>
        </w:rPr>
      </w:pPr>
    </w:p>
    <w:p w14:paraId="375CE99A" w14:textId="77777777" w:rsidR="0004644B" w:rsidRPr="004C6913" w:rsidRDefault="0004644B" w:rsidP="0004644B">
      <w:pPr>
        <w:jc w:val="center"/>
      </w:pPr>
      <w:r w:rsidRPr="004C6913">
        <w:rPr>
          <w:b/>
          <w:bCs/>
        </w:rPr>
        <w:t>REsp 1819075/RS - EMENTA</w:t>
      </w:r>
    </w:p>
    <w:p w14:paraId="027A908A" w14:textId="77777777" w:rsidR="0004644B" w:rsidRPr="004C6913" w:rsidRDefault="0004644B" w:rsidP="0004644B">
      <w:pPr>
        <w:jc w:val="both"/>
      </w:pPr>
      <w:r w:rsidRPr="004C6913">
        <w:t xml:space="preserve">DIREITO CIVIL. RECURSO ESPECIAL. CONDOMÍNIO EDILÍCIO RESIDENCIAL. AÇÃO DE OBRIGAÇÃO DE NÃO FAZER. </w:t>
      </w:r>
      <w:r w:rsidRPr="004C6913">
        <w:rPr>
          <w:b/>
          <w:bCs/>
        </w:rPr>
        <w:t>LOCAÇÃO FRACIONADA DE IMÓVEL PARA PESSOAS SEM VÍNCULO ENTRE SI, POR CURTOS PERÍODOS</w:t>
      </w:r>
      <w:r w:rsidRPr="004C6913">
        <w:t xml:space="preserve">. </w:t>
      </w:r>
      <w:r w:rsidRPr="004C6913">
        <w:rPr>
          <w:b/>
          <w:bCs/>
        </w:rPr>
        <w:t>CONTRATAÇÕES CONCOMITANTES, INDEPENDENTES E INFORMAIS, POR PRAZOS VARIADOS</w:t>
      </w:r>
      <w:r w:rsidRPr="004C6913">
        <w:t xml:space="preserve">. </w:t>
      </w:r>
      <w:r w:rsidRPr="004C6913">
        <w:rPr>
          <w:b/>
          <w:bCs/>
        </w:rPr>
        <w:t>OFERTA</w:t>
      </w:r>
      <w:r w:rsidRPr="004C6913">
        <w:t xml:space="preserve"> </w:t>
      </w:r>
      <w:r w:rsidRPr="004C6913">
        <w:rPr>
          <w:b/>
          <w:bCs/>
        </w:rPr>
        <w:t>POR MEIO DE PLATAFORMAS DIGITAIS ESPECIALIZADAS DIVERSAS</w:t>
      </w:r>
      <w:r w:rsidRPr="004C6913">
        <w:t xml:space="preserve">. </w:t>
      </w:r>
      <w:r w:rsidRPr="004C6913">
        <w:rPr>
          <w:b/>
          <w:bCs/>
          <w:u w:val="single"/>
        </w:rPr>
        <w:t>HOSPEDAGEM ATÍPICA</w:t>
      </w:r>
      <w:r w:rsidRPr="004C6913">
        <w:t xml:space="preserve">. USO NÃO RESIDENCIAL DA UNIDADE CONDOMINIAL. ALTA ROTATIVIDADE, COM POTENCIAL AMEAÇA À SEGURANÇA, AO SOSSEGO E À SAÚDE DOS CONDÔMINOS. CONTRARIEDADE À CONVENÇÃO DE CONDOMÍNIO QUE PREVÊ DESTINAÇÃO RESIDENCIAL. </w:t>
      </w:r>
    </w:p>
    <w:p w14:paraId="3307BE92" w14:textId="77777777" w:rsidR="0004644B" w:rsidRPr="004C6913" w:rsidRDefault="0004644B" w:rsidP="0004644B">
      <w:pPr>
        <w:jc w:val="both"/>
      </w:pPr>
      <w:r w:rsidRPr="004C6913">
        <w:t>1. Os conceitos de domicílio e residência (CC/2002, arts. 70 a 78), centrados na ideia de permanência e habitualidade, não se coadunam com as características de transitoriedade, eventualidade e temporariedade efêmera, presentes na hospedagem, particularmente naqueles moldes anunciados por meio de plataformas digitais de hospedagem.</w:t>
      </w:r>
    </w:p>
    <w:p w14:paraId="4B26C8F9" w14:textId="77777777" w:rsidR="0004644B" w:rsidRDefault="0004644B" w:rsidP="0004644B">
      <w:pPr>
        <w:jc w:val="both"/>
      </w:pPr>
      <w:r w:rsidRPr="004C6913">
        <w:t xml:space="preserve">2. Na hipótese, </w:t>
      </w:r>
      <w:r w:rsidRPr="004C6913">
        <w:rPr>
          <w:b/>
          <w:bCs/>
        </w:rPr>
        <w:t>tem-se um contrato atípico de hospedagem</w:t>
      </w:r>
      <w:r w:rsidRPr="004C6913">
        <w:t xml:space="preserve">, </w:t>
      </w:r>
      <w:r w:rsidRPr="004C6913">
        <w:rPr>
          <w:b/>
          <w:bCs/>
        </w:rPr>
        <w:t>que se equipara à nova modalidade surgida nos dias atuais, marcados pelos influxos da avançada tecnologia e pelas facilidades de comunicação e acesso proporcionadas pela rede mundial da internet</w:t>
      </w:r>
      <w:r w:rsidRPr="004C6913">
        <w:t>, e que se vem tornando bastante popular, de um lado, como forma de incremento ou complementação de renda de senhorios, e, de outro, de obtenção, por viajantes e outros interessados, de acolhida e abrigo de reduzido custo.</w:t>
      </w:r>
    </w:p>
    <w:p w14:paraId="29F8D273" w14:textId="77777777" w:rsidR="0004644B" w:rsidRPr="004C6913" w:rsidRDefault="0004644B" w:rsidP="0004644B">
      <w:pPr>
        <w:jc w:val="both"/>
      </w:pPr>
      <w:r w:rsidRPr="004C6913">
        <w:t xml:space="preserve">3. Trata-se de </w:t>
      </w:r>
      <w:r w:rsidRPr="004C6913">
        <w:rPr>
          <w:b/>
          <w:bCs/>
        </w:rPr>
        <w:t>modalidade singela e inovadora de hospedagem de pessoas</w:t>
      </w:r>
      <w:r w:rsidRPr="004C6913">
        <w:t xml:space="preserve">, sem vínculo entre si, em ambientes físicos de estrutura típica residencial familiar, exercida sem inerente profissionalismo por aquele que atua na produção desse serviço para os interessados, sendo a atividade comumente </w:t>
      </w:r>
      <w:r w:rsidRPr="004C6913">
        <w:rPr>
          <w:b/>
          <w:bCs/>
        </w:rPr>
        <w:t>anunciada por meio de plataformas digitais variadas</w:t>
      </w:r>
      <w:r w:rsidRPr="004C6913">
        <w:t>. (...)</w:t>
      </w:r>
    </w:p>
    <w:p w14:paraId="49AE3F06" w14:textId="77777777" w:rsidR="0004644B" w:rsidRPr="004C6913" w:rsidRDefault="0004644B" w:rsidP="0004644B">
      <w:pPr>
        <w:jc w:val="both"/>
      </w:pPr>
      <w:r w:rsidRPr="004C6913">
        <w:t xml:space="preserve">4. Embora aparentemente lícita, </w:t>
      </w:r>
      <w:r w:rsidRPr="004C6913">
        <w:rPr>
          <w:b/>
          <w:bCs/>
        </w:rPr>
        <w:t>essa peculiar recente forma de hospedagem não encontra</w:t>
      </w:r>
      <w:r w:rsidRPr="004C6913">
        <w:t xml:space="preserve">, ainda, clara definição doutrinária, nem tem legislação reguladora no Brasil, e, registre-se, </w:t>
      </w:r>
      <w:r w:rsidRPr="004C6913">
        <w:rPr>
          <w:b/>
          <w:bCs/>
        </w:rPr>
        <w:t>não se confunde com aquelas espécies tradicionais de locação</w:t>
      </w:r>
      <w:r w:rsidRPr="004C6913">
        <w:t>, regidas pela Lei 8.245/91, nem mesmo com aquela menos antiga, genericamente denominada de aluguel por temporada (art. 48 da Lei de Locações).</w:t>
      </w:r>
    </w:p>
    <w:p w14:paraId="3CB49A54" w14:textId="77777777" w:rsidR="0004644B" w:rsidRDefault="0004644B" w:rsidP="0004644B">
      <w:pPr>
        <w:jc w:val="both"/>
      </w:pPr>
      <w:r w:rsidRPr="004C6913">
        <w:t xml:space="preserve">5. Diferentemente do caso sob exame, </w:t>
      </w:r>
      <w:r w:rsidRPr="004C6913">
        <w:rPr>
          <w:b/>
          <w:bCs/>
        </w:rPr>
        <w:t>a locação por temporada não prevê aluguel informal e fracionado de quartos existentes num imóvel para hospedagem de distintas pessoas estranhas entre si</w:t>
      </w:r>
      <w:r w:rsidRPr="004C6913">
        <w:t xml:space="preserve">, mas sim </w:t>
      </w:r>
      <w:r w:rsidRPr="004C6913">
        <w:rPr>
          <w:b/>
          <w:bCs/>
        </w:rPr>
        <w:t>a locação plena e formalizada de imóvel adequado a servir de residência temporária para determinado locatário e, por óbvio</w:t>
      </w:r>
      <w:r w:rsidRPr="004C6913">
        <w:t>, seus familiares ou amigos, por prazo não superior a noventa dias</w:t>
      </w:r>
      <w:r>
        <w:t xml:space="preserve"> </w:t>
      </w:r>
      <w:r w:rsidRPr="004C6913">
        <w:t>(...)</w:t>
      </w:r>
    </w:p>
    <w:p w14:paraId="7791577D" w14:textId="77777777" w:rsidR="0004644B" w:rsidRPr="004C6913" w:rsidRDefault="0004644B" w:rsidP="0004644B">
      <w:pPr>
        <w:jc w:val="both"/>
      </w:pPr>
      <w:r w:rsidRPr="004C6913">
        <w:t xml:space="preserve">6. </w:t>
      </w:r>
      <w:r w:rsidRPr="004C6913">
        <w:rPr>
          <w:b/>
          <w:bCs/>
        </w:rPr>
        <w:t>Tampouco a nova modalidade de hospedagem se enquadra dentre os usuais tipos de hospedagem ofertados</w:t>
      </w:r>
      <w:r w:rsidRPr="004C6913">
        <w:t>, de modo formal e profissionalizado, por hotéis, pousadas, hospedarias, motéis e outros estabelecimentos da rede tradicional provisora de alojamento, conforto e variados serviços à clientela, regida pela Lei 11.771/2008.”</w:t>
      </w:r>
    </w:p>
    <w:p w14:paraId="238EC65F" w14:textId="7B29C0F3" w:rsidR="00D65770" w:rsidRDefault="00D65770">
      <w:pPr>
        <w:rPr>
          <w:b/>
          <w:bCs/>
          <w:u w:val="single"/>
        </w:rPr>
      </w:pPr>
      <w:r>
        <w:rPr>
          <w:b/>
          <w:bCs/>
          <w:u w:val="single"/>
        </w:rPr>
        <w:br w:type="page"/>
      </w:r>
    </w:p>
    <w:p w14:paraId="3F7ACBA2" w14:textId="77777777" w:rsidR="00A34968" w:rsidRPr="00A34968" w:rsidRDefault="00A34968" w:rsidP="00D955FC">
      <w:pPr>
        <w:jc w:val="center"/>
        <w:rPr>
          <w:b/>
          <w:bCs/>
          <w:u w:val="single"/>
        </w:rPr>
      </w:pPr>
      <w:r w:rsidRPr="00A34968">
        <w:rPr>
          <w:b/>
          <w:bCs/>
          <w:u w:val="single"/>
        </w:rPr>
        <w:lastRenderedPageBreak/>
        <w:t xml:space="preserve">AgInt no AREsp 2175092/SP - </w:t>
      </w:r>
      <w:r w:rsidRPr="00A34968">
        <w:rPr>
          <w:b/>
          <w:bCs/>
        </w:rPr>
        <w:t>(AgInt no AREsp n. 2.175.092/SP, relatora Ministra Maria Isabel Gallotti, Quarta Turma, julgado em 19/6/2023, DJe de 22/6/2023.)</w:t>
      </w:r>
    </w:p>
    <w:p w14:paraId="6A8FA569" w14:textId="77777777" w:rsidR="00222D59" w:rsidRPr="00A34968" w:rsidRDefault="00222D59" w:rsidP="00222D59">
      <w:pPr>
        <w:jc w:val="both"/>
      </w:pPr>
    </w:p>
    <w:p w14:paraId="4489EFC8" w14:textId="77777777" w:rsidR="00A34968" w:rsidRPr="00A34968" w:rsidRDefault="00A34968" w:rsidP="00A34968">
      <w:pPr>
        <w:jc w:val="both"/>
      </w:pPr>
      <w:r w:rsidRPr="00A34968">
        <w:t>AGRAVO INTERNO. AGRAVO EM RECURSO ESPECIAL. DECISÃO DE LAVRA DA PRESIDÊNCIA. DIREITO PROCESSUAL CIVIL. SÚMULA 182 DO STJ. DIREITO CIVIL. CONDOMÍNIO. ALUGUEL POR TEMPORADA NÃO CONFIGURADO. ENTENDIMENTO DO TRIBUNAL DE ORIGEM. FINALIDADE DIVERSA DA RESIDENCIAL. IMPOSSIBILIDADE. CLÁUSULA CONDOMINIAL E REGIMENTO INTERNO. SÚMULAS 7 E 5 DO STJ. AGRAVO INTERNO NÃO PROVIDO.</w:t>
      </w:r>
    </w:p>
    <w:p w14:paraId="7AC097DB" w14:textId="77777777" w:rsidR="00A34968" w:rsidRPr="00A34968" w:rsidRDefault="00A34968" w:rsidP="00A34968">
      <w:pPr>
        <w:jc w:val="both"/>
      </w:pPr>
      <w:r w:rsidRPr="00A34968">
        <w:t>1. Na origem, trata-se de ação de obrigação de não fazer c/c tutela de urgência objetivando que o condomínio se abstenha de proibir o Autor de realizar anúncios e de alugar seu imóvel por temporada.</w:t>
      </w:r>
    </w:p>
    <w:p w14:paraId="498EA258" w14:textId="77777777" w:rsidR="00A34968" w:rsidRPr="00A34968" w:rsidRDefault="00A34968" w:rsidP="00A34968">
      <w:pPr>
        <w:jc w:val="both"/>
      </w:pPr>
      <w:r w:rsidRPr="00A34968">
        <w:t>2. À luz do princípio da dialeticidade, que norteia os recursos, compete à parte agravante, sob pena de não conhecimento do agravo em Recurso Especial, infirmar especificamente os fundamentos adotados pelo Tribunal de origem para negar seguimento ao reclamo. Não impugnação. Incidência da Súmula 182 do STJ no caso em questão.</w:t>
      </w:r>
    </w:p>
    <w:p w14:paraId="7FF6F87C" w14:textId="77777777" w:rsidR="00A34968" w:rsidRPr="00A34968" w:rsidRDefault="00A34968" w:rsidP="00A34968">
      <w:pPr>
        <w:jc w:val="both"/>
      </w:pPr>
      <w:r w:rsidRPr="00A34968">
        <w:t>3. O Tribunal de origem concluiu que haveria cláusula específica da Convenção Condominial e no Regimento Interno do Condomínio mencionando expressamente que não se permite o uso dos apartamentos com finalidade diversa à da moradia.</w:t>
      </w:r>
    </w:p>
    <w:p w14:paraId="40A7AA2D" w14:textId="77777777" w:rsidR="00A34968" w:rsidRPr="00A34968" w:rsidRDefault="00A34968" w:rsidP="00A34968">
      <w:pPr>
        <w:jc w:val="both"/>
      </w:pPr>
      <w:r w:rsidRPr="00A34968">
        <w:t>4. Portanto, modificar a conclusão do acórdão recorrido demandaria reexame de matéria fático-probatória e de cláusulas condominiais, vedado em sede de recurso especial, a teor das Súmulas 7 e 5, ambas do STJ.</w:t>
      </w:r>
    </w:p>
    <w:p w14:paraId="7B38675F" w14:textId="77777777" w:rsidR="00A34968" w:rsidRPr="00A34968" w:rsidRDefault="00A34968" w:rsidP="00A34968">
      <w:pPr>
        <w:jc w:val="both"/>
        <w:rPr>
          <w:b/>
          <w:bCs/>
          <w:u w:val="single"/>
        </w:rPr>
      </w:pPr>
      <w:r w:rsidRPr="00A34968">
        <w:rPr>
          <w:b/>
          <w:bCs/>
          <w:u w:val="single"/>
        </w:rPr>
        <w:t>5. Além disso, possui entendimento no sentido de que o sistema de reserva de imóveis por meio de plataformas digitais do tipo "Airnb" é caracterizado como uma espécie de contrato atípico de hospedagem e não se confunde com locação por temporada, e, por isso, não poderia ser abarcado pela finalidade residencial disposta em Convenção condominial.</w:t>
      </w:r>
    </w:p>
    <w:p w14:paraId="3DE29E59" w14:textId="77777777" w:rsidR="00A34968" w:rsidRPr="00A34968" w:rsidRDefault="00A34968" w:rsidP="00A34968">
      <w:pPr>
        <w:jc w:val="both"/>
      </w:pPr>
      <w:r w:rsidRPr="00A34968">
        <w:t>6. O Tribunal de origem, portanto, seguiu no mesmo sentido que o desta Corte, incidindo o óbice da Súmula 83 do STJ.</w:t>
      </w:r>
    </w:p>
    <w:p w14:paraId="39E19978" w14:textId="77777777" w:rsidR="00A34968" w:rsidRPr="00A34968" w:rsidRDefault="00A34968" w:rsidP="00A34968">
      <w:pPr>
        <w:jc w:val="both"/>
      </w:pPr>
      <w:r w:rsidRPr="00A34968">
        <w:t>7. Agravo interno a que se nega provimento.</w:t>
      </w:r>
    </w:p>
    <w:p w14:paraId="576D68B4" w14:textId="1EC961F8" w:rsidR="00A34968" w:rsidRPr="00A34968" w:rsidRDefault="00A34968" w:rsidP="00A34968">
      <w:pPr>
        <w:jc w:val="both"/>
      </w:pPr>
      <w:r w:rsidRPr="00A34968">
        <w:t>(AgInt no AREsp n. 2.175.092/SP, relatora Ministra Maria Isabel Gallotti, Quarta Turma, julgado em 19/6/2023, DJe de 22/6/2023.)</w:t>
      </w:r>
    </w:p>
    <w:p w14:paraId="01D8F0B9" w14:textId="77777777" w:rsidR="00A34968" w:rsidRPr="00A34968" w:rsidRDefault="00A34968" w:rsidP="00222D59">
      <w:pPr>
        <w:jc w:val="both"/>
      </w:pPr>
    </w:p>
    <w:p w14:paraId="6A8505BE" w14:textId="77777777" w:rsidR="00A34968" w:rsidRPr="00414441" w:rsidRDefault="00A34968">
      <w:pPr>
        <w:rPr>
          <w:b/>
          <w:bCs/>
          <w:u w:val="single"/>
        </w:rPr>
      </w:pPr>
      <w:r w:rsidRPr="00414441">
        <w:rPr>
          <w:b/>
          <w:bCs/>
          <w:u w:val="single"/>
        </w:rPr>
        <w:br w:type="page"/>
      </w:r>
    </w:p>
    <w:p w14:paraId="09DB5A2E" w14:textId="1351543C" w:rsidR="00222D59" w:rsidRPr="00A34968" w:rsidRDefault="00222D59" w:rsidP="00A34968">
      <w:pPr>
        <w:jc w:val="center"/>
        <w:rPr>
          <w:b/>
          <w:bCs/>
          <w:u w:val="single"/>
        </w:rPr>
      </w:pPr>
      <w:r w:rsidRPr="00A34968">
        <w:rPr>
          <w:b/>
          <w:bCs/>
          <w:u w:val="single"/>
        </w:rPr>
        <w:lastRenderedPageBreak/>
        <w:t>ADI 5764 STF</w:t>
      </w:r>
      <w:r w:rsidR="001F14C5">
        <w:rPr>
          <w:b/>
          <w:bCs/>
          <w:u w:val="single"/>
        </w:rPr>
        <w:t xml:space="preserve"> -</w:t>
      </w:r>
      <w:r w:rsidR="001F14C5" w:rsidRPr="001F14C5">
        <w:t xml:space="preserve"> </w:t>
      </w:r>
      <w:r w:rsidR="001F14C5" w:rsidRPr="001F14C5">
        <w:rPr>
          <w:b/>
          <w:bCs/>
          <w:u w:val="single"/>
        </w:rPr>
        <w:t>Relator: MIN. ANDRÉ MENDONÇA. DJE publicado em 16/10/2023.</w:t>
      </w:r>
    </w:p>
    <w:p w14:paraId="2C9CC064" w14:textId="77777777" w:rsidR="001F14C5" w:rsidRPr="001F14C5" w:rsidRDefault="001F14C5" w:rsidP="001F14C5">
      <w:pPr>
        <w:jc w:val="both"/>
      </w:pPr>
      <w:r w:rsidRPr="001F14C5">
        <w:t>O Supremo Tribunal Federal (STF) declarou constitucional a incidência do Imposto sobre Serviços (ISS) sobre o preço total das diárias pagas em hospedagem. A decisão foi tomada no julgamento da Ação Direta de Inconstitucionalidade (ADI) 5764.</w:t>
      </w:r>
    </w:p>
    <w:p w14:paraId="5120B240" w14:textId="16C6C14C" w:rsidR="00222D59" w:rsidRPr="001F14C5" w:rsidRDefault="001F14C5" w:rsidP="001F14C5">
      <w:pPr>
        <w:jc w:val="both"/>
      </w:pPr>
      <w:r w:rsidRPr="001F14C5">
        <w:t>Na ação, a Associação Brasileira da Indústria de Hotéis (ABIH) questionava o item 9.01 da lista anexa à Lei Complementar 116/2003. Seu argumento era de que o imposto não poderia incidir sobre a totalidade das receitas das diárias pagas pelos hóspedes, mas apenas sobre os serviços prestados, ou seja, excluindo-se a parcela relativa à locação do imóvel propriamente dita.</w:t>
      </w:r>
    </w:p>
    <w:p w14:paraId="3364C3EF" w14:textId="77777777" w:rsidR="001F14C5" w:rsidRPr="00A34968" w:rsidRDefault="001F14C5" w:rsidP="001F14C5">
      <w:pPr>
        <w:jc w:val="both"/>
        <w:rPr>
          <w:b/>
          <w:bCs/>
          <w:u w:val="single"/>
        </w:rPr>
      </w:pPr>
    </w:p>
    <w:p w14:paraId="3AEC251C" w14:textId="2ED770DD" w:rsidR="00222D59" w:rsidRPr="001F14C5" w:rsidRDefault="00A34968" w:rsidP="00A34968">
      <w:pPr>
        <w:jc w:val="both"/>
      </w:pPr>
      <w:r w:rsidRPr="001F14C5">
        <w:rPr>
          <w:b/>
          <w:bCs/>
          <w:u w:val="single"/>
        </w:rPr>
        <w:t>AÇÃO DIRETA DE INCONSTITUCIONALIDADE. IMPOSTO SOBRE SERVIÇOS DE QUALQUER NATUREZA (ISSQN). SUBITEM 9.01 DA LISTA DE SERVIÇOS ANEXA À LEI COMPLEMENTAR Nº 116, DE 2003. CONTRATO DE HOSPEDAGEM. SETOR HOTELEIRO. PARCELAS QUE INTEGRAM O PREÇO DO SERVIÇO DE HOTELARIA: TODAS COMPÕEM A BASE DE CÁLCULO DO ISS.</w:t>
      </w:r>
      <w:r w:rsidRPr="001F14C5">
        <w:t xml:space="preserve"> 1. A questão constitucional suscitada em abstrato nesta ação consiste em saber se a Lei Complementar nº 116, de 2003, extravasou a materialidade do Imposto sobre Serviços de Qualquer Natureza prevista no art. 156, inc. III, da Constituição da República, ao prever a incidência desse tributo sobre a hospedagem de qualquer natureza em hotéis, apartservice condominiais, flat, apart-hotéis, hotéis residência, residence-service, suite service, hotelaria marítima, motéis, pensões e congêneres, além da ocupação por temporada com fornecimento de serviço. Dito de outra forma, cuida-se de definir se os contratos que veiculam hospedagem de</w:t>
      </w:r>
      <w:r w:rsidR="001F14C5" w:rsidRPr="001F14C5">
        <w:t xml:space="preserve"> qualquer natureza nos meios listados no objeto impugnado são preponderantemente serviços para fins de tributação pelo ISSQN. 2. Preliminar. A satisfação do ônus argumentativo pelo legitimado ativo no que diz respeito à prova da inconstitucionalidade consiste em matéria típica de mérito. No caso dos autos, da exordial é possível depreender os elementos previstos no art. 3º da Lei nº 9.868, de 1999, bem como que mencionado petitório satisfaz os requisitos emanados do repertório jurisprudencial deste STF. 2. Preliminar. A satisfação do ônus argumentativo pelo legitimado ativo no que diz respeito à prova da inconstitucionalidade consiste em matéria típica de mérito. No caso dos autos, da exordial é possível depreender os elementos previstos no art. 3º da Lei nº 9.868, de 1999, bem como que mencionado petitório satisfaz os requisitos emanados do repertório jurisprudencial deste STF. 3. Preliminar. É indevida a extinção anômala da ação direta, em função de eventual defeito do instrumento de procuração que não impeça a compreensão pelo juízo constitucional da controvérsia submetida ao controle abstrato de constitucionalidade, bem como é despiciendo instar a requerente 3. Preliminar. É indevida a extinção anômala da ação direta, em função de eventual defeito do instrumento de procuração que não impeça a compreensão pelo juízo constitucional da controvérsia submetida ao controle abstrato de constitucionalidade, bem como é despiciendo instar a requerente para para ratificar ratificar seu desejo de propugnar pela seu desejo de propugnar pela inconstitucionalidade do objeto em questão na hipótese em que parece ser inequívoca a manifestação formalizada de vontade do legitimado ativo. inconstitucionalidade do objeto em questão na hipótese em que parece ser inequívoca a manifestação formalizada de vontade do legitimado ativo. 4. Fixada na lista anexa à LC nº 116, de 2003, que uma atividade veicula uma prestação de serviço, ainda que se trata de relação contratual mista ou complexa, somente se mostra viável defender a inconstitucionalidade dessa opção legislativa, quando a natureza jurídica do negócio jurídico em questão não corresponda, de fato, a um serviço. No contrato de hospedagem, a utilidade consiste, em essência, no alojamento temporário e a sua função típica é a hospitalidade retribuída. Não há o que se confundir entre a relação negocial de hotelaria e o </w:t>
      </w:r>
      <w:r w:rsidR="001F14C5" w:rsidRPr="001F14C5">
        <w:lastRenderedPageBreak/>
        <w:t xml:space="preserve">contrato de locação de bem imóvel. 4. Fixada na lista anexa à LC nº 116, de 2003, que uma atividade veicula uma prestação de serviço, ainda que se trata de relação contratual mista ou complexa, somente se mostra viável defender a inconstitucionalidade dessa opção legislativa, quando a natureza jurídica do negócio jurídico em questão não corresponda, de fato, a um serviço. No contrato de hospedagem, a utilidade consiste, em essência, no alojamento temporário e a sua função típica é a hospitalidade retribuída. Não há o que se confundir entre a relação negocial de hotelaria e o contrato de locação de bem imóvel. 5. Não é devida a leitura da hospedagem como uma obrigação de dar, porquanto não se depreende dela, para fins tributários, unicamente uma locação da unidade habitacional pelo preço vertido na diária. A interpretação constitucional da materialidade tributária prevista no art. 156, inc. III, da Constituição da República, não se limita à classificação obrigacional derivada da dogmática civilista. De acordo com o entendimento do Supremo Tribunal Federal, o ISS incide sobre atividades que representam tanto obrigações de fazer quanto obrigações mistas, que também incluem uma obrigação de dar. </w:t>
      </w:r>
      <w:r w:rsidR="001F14C5" w:rsidRPr="00D955FC">
        <w:rPr>
          <w:b/>
          <w:bCs/>
        </w:rPr>
        <w:t>6. É inadequado o decote da base de cálculo do Imposto sobre Serviços de qualquer Natureza com a finalidade de excluir a parcela referente à locação da unidade habitacional, porque a circulação econômica de serviço vertida no contrato de hospedagem tem caráter singular, justificando-se a partir de sua visualização unitária, logo é inviável a cisão apriorística de modo a retirar da base imponível desse imposto municipal a fração relativa à locação da unidade habitacional. Desse modo, é assente a orientação jurisprudencial segundo a qual todas as parcelas que integram o preço do serviço de hotelaria compõem a base de cálculo do ISS</w:t>
      </w:r>
      <w:r w:rsidR="001F14C5" w:rsidRPr="001F14C5">
        <w:t xml:space="preserve">. 7. Ação direta de inconstitucionalidade conhecida e julgada improcedente. </w:t>
      </w:r>
    </w:p>
    <w:p w14:paraId="09215E81" w14:textId="77777777" w:rsidR="00D65770" w:rsidRDefault="00D65770">
      <w:pPr>
        <w:rPr>
          <w:b/>
          <w:bCs/>
          <w:u w:val="single"/>
          <w:lang w:val="en-US"/>
        </w:rPr>
      </w:pPr>
      <w:r>
        <w:rPr>
          <w:b/>
          <w:bCs/>
          <w:u w:val="single"/>
          <w:lang w:val="en-US"/>
        </w:rPr>
        <w:br w:type="page"/>
      </w:r>
    </w:p>
    <w:p w14:paraId="6F89850C" w14:textId="68487B55" w:rsidR="00304893" w:rsidRPr="00A34968" w:rsidRDefault="00304893" w:rsidP="00304893">
      <w:pPr>
        <w:jc w:val="center"/>
        <w:rPr>
          <w:b/>
          <w:bCs/>
          <w:u w:val="single"/>
          <w:lang w:val="en-US"/>
        </w:rPr>
      </w:pPr>
      <w:r>
        <w:rPr>
          <w:b/>
          <w:bCs/>
          <w:u w:val="single"/>
          <w:lang w:val="en-US"/>
        </w:rPr>
        <w:lastRenderedPageBreak/>
        <w:t>CONSTITUIÇÃO FEDERAL</w:t>
      </w:r>
    </w:p>
    <w:p w14:paraId="002E1B15" w14:textId="77777777" w:rsidR="00304893" w:rsidRDefault="00304893" w:rsidP="00304893">
      <w:pPr>
        <w:jc w:val="both"/>
        <w:rPr>
          <w:lang w:val="en-US"/>
        </w:rPr>
      </w:pPr>
    </w:p>
    <w:p w14:paraId="3F801625" w14:textId="77777777" w:rsidR="00304893" w:rsidRPr="00304893" w:rsidRDefault="00304893" w:rsidP="00304893">
      <w:pPr>
        <w:jc w:val="both"/>
      </w:pPr>
      <w:r w:rsidRPr="00304893">
        <w:rPr>
          <w:b/>
          <w:bCs/>
        </w:rPr>
        <w:t>Art. 30</w:t>
      </w:r>
      <w:r w:rsidRPr="00304893">
        <w:t>. Compete aos Municípios:</w:t>
      </w:r>
    </w:p>
    <w:p w14:paraId="2FDE5499" w14:textId="77777777" w:rsidR="00304893" w:rsidRPr="00304893" w:rsidRDefault="00304893" w:rsidP="00304893">
      <w:pPr>
        <w:jc w:val="both"/>
      </w:pPr>
      <w:bookmarkStart w:id="0" w:name="art30i"/>
      <w:bookmarkEnd w:id="0"/>
      <w:r w:rsidRPr="00304893">
        <w:t>I - legislar sobre assuntos de interesse local;</w:t>
      </w:r>
    </w:p>
    <w:p w14:paraId="7F602C2C" w14:textId="6D465DC6" w:rsidR="00304893" w:rsidRPr="00304893" w:rsidRDefault="00304893" w:rsidP="00304893">
      <w:pPr>
        <w:jc w:val="both"/>
      </w:pPr>
      <w:bookmarkStart w:id="1" w:name="art30ii"/>
      <w:bookmarkEnd w:id="1"/>
      <w:r w:rsidRPr="00304893">
        <w:t xml:space="preserve">II - suplementar a legislação federal e a estadual no que couber; </w:t>
      </w:r>
    </w:p>
    <w:p w14:paraId="278B95D6" w14:textId="77777777" w:rsidR="00304893" w:rsidRPr="00304893" w:rsidRDefault="00304893" w:rsidP="00304893">
      <w:pPr>
        <w:jc w:val="both"/>
      </w:pPr>
      <w:bookmarkStart w:id="2" w:name="art30iii"/>
      <w:bookmarkEnd w:id="2"/>
      <w:r w:rsidRPr="00304893">
        <w:t>III - instituir e arrecadar os tributos de sua competência, bem como aplicar suas rendas, sem prejuízo da obrigatoriedade de prestar contas e publicar balancetes nos prazos fixados em lei;</w:t>
      </w:r>
    </w:p>
    <w:p w14:paraId="31000457" w14:textId="77777777" w:rsidR="00304893" w:rsidRPr="00304893" w:rsidRDefault="00304893" w:rsidP="00304893">
      <w:pPr>
        <w:jc w:val="both"/>
      </w:pPr>
      <w:bookmarkStart w:id="3" w:name="art30iv"/>
      <w:bookmarkEnd w:id="3"/>
      <w:r w:rsidRPr="00304893">
        <w:t>IV - criar, organizar e suprimir distritos, observada a legislação estadual;</w:t>
      </w:r>
    </w:p>
    <w:p w14:paraId="68B35006" w14:textId="77777777" w:rsidR="00304893" w:rsidRPr="00304893" w:rsidRDefault="00304893" w:rsidP="00304893">
      <w:pPr>
        <w:jc w:val="both"/>
      </w:pPr>
      <w:bookmarkStart w:id="4" w:name="art30v"/>
      <w:bookmarkEnd w:id="4"/>
      <w:r w:rsidRPr="00304893">
        <w:t>V - organizar e prestar, diretamente ou sob regime de concessão ou permissão, os serviços públicos de interesse local, incluído o de transporte coletivo, que tem caráter essencial;</w:t>
      </w:r>
    </w:p>
    <w:p w14:paraId="45066C35" w14:textId="6F395F95" w:rsidR="00304893" w:rsidRPr="00304893" w:rsidRDefault="00304893" w:rsidP="00304893">
      <w:pPr>
        <w:jc w:val="both"/>
      </w:pPr>
      <w:bookmarkStart w:id="5" w:name="art30vi"/>
      <w:bookmarkStart w:id="6" w:name="art30vi."/>
      <w:bookmarkEnd w:id="5"/>
      <w:bookmarkEnd w:id="6"/>
      <w:r w:rsidRPr="00304893">
        <w:t>VI - manter, com a cooperação técnica e financeira da União e do Estado, programas de educação infantil e de ensino fundamental</w:t>
      </w:r>
      <w:r>
        <w:t>;</w:t>
      </w:r>
    </w:p>
    <w:p w14:paraId="2271FCC1" w14:textId="77777777" w:rsidR="00304893" w:rsidRPr="00304893" w:rsidRDefault="00304893" w:rsidP="00304893">
      <w:pPr>
        <w:jc w:val="both"/>
      </w:pPr>
      <w:bookmarkStart w:id="7" w:name="art30vii"/>
      <w:bookmarkEnd w:id="7"/>
      <w:r w:rsidRPr="00304893">
        <w:t>VII - prestar, com a cooperação técnica e financeira da União e do Estado, serviços de atendimento à saúde da população;</w:t>
      </w:r>
    </w:p>
    <w:p w14:paraId="09FA473E" w14:textId="77777777" w:rsidR="00304893" w:rsidRPr="00304893" w:rsidRDefault="00304893" w:rsidP="00304893">
      <w:pPr>
        <w:jc w:val="both"/>
      </w:pPr>
      <w:bookmarkStart w:id="8" w:name="art30viii"/>
      <w:bookmarkEnd w:id="8"/>
      <w:r w:rsidRPr="00304893">
        <w:t>VIII - promover, no que couber, adequado ordenamento territorial, mediante planejamento e controle do uso, do parcelamento e da ocupação do solo urbano;</w:t>
      </w:r>
    </w:p>
    <w:p w14:paraId="618BC1CE" w14:textId="77777777" w:rsidR="00304893" w:rsidRPr="00304893" w:rsidRDefault="00304893" w:rsidP="00304893">
      <w:pPr>
        <w:jc w:val="both"/>
      </w:pPr>
      <w:bookmarkStart w:id="9" w:name="art30ix"/>
      <w:bookmarkEnd w:id="9"/>
      <w:r w:rsidRPr="00304893">
        <w:t>IX - promover a proteção do patrimônio histórico-cultural local, observada a legislação e a ação fiscalizadora federal e estadual.</w:t>
      </w:r>
    </w:p>
    <w:p w14:paraId="08DAA324" w14:textId="77777777" w:rsidR="00304893" w:rsidRDefault="00304893" w:rsidP="00304893">
      <w:pPr>
        <w:jc w:val="both"/>
      </w:pPr>
      <w:bookmarkStart w:id="10" w:name="cf-88-parte-1-titulo-3-capitulo-4-artigo"/>
      <w:bookmarkStart w:id="11" w:name="art31"/>
      <w:bookmarkEnd w:id="10"/>
      <w:bookmarkEnd w:id="11"/>
    </w:p>
    <w:p w14:paraId="4996E316" w14:textId="2D3C9987" w:rsidR="00304893" w:rsidRPr="00304893" w:rsidRDefault="00304893" w:rsidP="00304893">
      <w:pPr>
        <w:jc w:val="both"/>
      </w:pPr>
      <w:r w:rsidRPr="00304893">
        <w:rPr>
          <w:b/>
          <w:bCs/>
        </w:rPr>
        <w:t>Art. 31</w:t>
      </w:r>
      <w:r w:rsidRPr="00304893">
        <w:t>. A fiscalização do Município será exercida pelo Poder Legislativo Municipal, mediante controle externo, e pelos sistemas de controle interno do Poder Executivo Municipal, na forma da lei.</w:t>
      </w:r>
    </w:p>
    <w:p w14:paraId="3C92A85F" w14:textId="77777777" w:rsidR="00304893" w:rsidRPr="00304893" w:rsidRDefault="00304893" w:rsidP="00304893">
      <w:pPr>
        <w:jc w:val="both"/>
      </w:pPr>
      <w:bookmarkStart w:id="12" w:name="31§1"/>
      <w:bookmarkEnd w:id="12"/>
      <w:r w:rsidRPr="00304893">
        <w:t>§ 1º O controle externo da Câmara Municipal será exercido com o auxílio dos Tribunais de Contas dos Estados ou do Município ou dos Conselhos ou Tribunais de Contas dos Municípios, onde houver.</w:t>
      </w:r>
    </w:p>
    <w:p w14:paraId="61521522" w14:textId="77777777" w:rsidR="00304893" w:rsidRPr="00304893" w:rsidRDefault="00304893" w:rsidP="00304893">
      <w:pPr>
        <w:jc w:val="both"/>
      </w:pPr>
      <w:bookmarkStart w:id="13" w:name="art31§2"/>
      <w:bookmarkEnd w:id="13"/>
      <w:r w:rsidRPr="00304893">
        <w:t>§ 2º O parecer prévio, emitido pelo órgão competente sobre as contas que o Prefeito deve anualmente prestar, só deixará de prevalecer por decisão de dois terços dos membros da Câmara Municipal.</w:t>
      </w:r>
    </w:p>
    <w:p w14:paraId="2501A447" w14:textId="77777777" w:rsidR="00304893" w:rsidRPr="00304893" w:rsidRDefault="00304893" w:rsidP="00304893">
      <w:pPr>
        <w:jc w:val="both"/>
      </w:pPr>
      <w:bookmarkStart w:id="14" w:name="art31§3"/>
      <w:bookmarkEnd w:id="14"/>
      <w:r w:rsidRPr="00304893">
        <w:t>§ 3º As contas dos Municípios ficarão, durante sessenta dias, anualmente, à disposição de qualquer contribuinte, para exame e apreciação, o qual poderá questionar-lhes a legitimidade, nos termos da lei.</w:t>
      </w:r>
    </w:p>
    <w:p w14:paraId="4B07F2FC" w14:textId="77777777" w:rsidR="00304893" w:rsidRPr="00304893" w:rsidRDefault="00304893" w:rsidP="00304893">
      <w:pPr>
        <w:jc w:val="both"/>
      </w:pPr>
      <w:bookmarkStart w:id="15" w:name="art31§4"/>
      <w:bookmarkEnd w:id="15"/>
      <w:r w:rsidRPr="00304893">
        <w:t>§ 4º É vedada a criação de Tribunais, Conselhos ou órgãos de Contas Municipais.</w:t>
      </w:r>
    </w:p>
    <w:p w14:paraId="664DD8FD" w14:textId="68EB3C89" w:rsidR="006D4F24" w:rsidRDefault="006D4F24">
      <w:pPr>
        <w:rPr>
          <w:b/>
          <w:bCs/>
          <w:u w:val="single"/>
        </w:rPr>
      </w:pPr>
      <w:r>
        <w:rPr>
          <w:b/>
          <w:bCs/>
          <w:u w:val="single"/>
        </w:rPr>
        <w:br w:type="page"/>
      </w:r>
    </w:p>
    <w:p w14:paraId="67EA5689" w14:textId="7BF0F794" w:rsidR="003C6E87" w:rsidRDefault="003C6E87" w:rsidP="00304893">
      <w:pPr>
        <w:jc w:val="center"/>
        <w:rPr>
          <w:b/>
          <w:bCs/>
          <w:u w:val="single"/>
        </w:rPr>
      </w:pPr>
      <w:r w:rsidRPr="003C6E87">
        <w:rPr>
          <w:b/>
          <w:bCs/>
          <w:u w:val="single"/>
        </w:rPr>
        <w:lastRenderedPageBreak/>
        <w:t>LEI DE TURISMO - LEI Nº 11.771, DE  17 DE SETEMBRO DE 2008</w:t>
      </w:r>
    </w:p>
    <w:p w14:paraId="3848D055" w14:textId="5BE6C5E5" w:rsidR="003C6E87" w:rsidRPr="003C6E87" w:rsidRDefault="003C6E87" w:rsidP="003C6E87">
      <w:pPr>
        <w:rPr>
          <w:b/>
          <w:bCs/>
        </w:rPr>
      </w:pPr>
      <w:r w:rsidRPr="003C6E87">
        <w:rPr>
          <w:b/>
          <w:bCs/>
        </w:rPr>
        <w:t>Dos Meios de Hospedagem</w:t>
      </w:r>
    </w:p>
    <w:p w14:paraId="1FE24067" w14:textId="04035D4D" w:rsidR="003C6E87" w:rsidRPr="003C6E87" w:rsidRDefault="003C6E87" w:rsidP="003C6E87">
      <w:pPr>
        <w:jc w:val="both"/>
        <w:rPr>
          <w:rFonts w:ascii="Calibri" w:hAnsi="Calibri" w:cs="Calibri"/>
        </w:rPr>
      </w:pPr>
      <w:r w:rsidRPr="003C6E87">
        <w:rPr>
          <w:rFonts w:ascii="Calibri" w:hAnsi="Calibri" w:cs="Calibri"/>
          <w:b/>
          <w:bCs/>
        </w:rPr>
        <w:t>Art. 23</w:t>
      </w:r>
      <w:r w:rsidRPr="003C6E87">
        <w:rPr>
          <w:rFonts w:ascii="Calibri" w:hAnsi="Calibri" w:cs="Calibri"/>
        </w:rPr>
        <w:t>. Consideram-se meios de hospedagem os empreendimentos ou estabelecimentos destinados a prestar serviços de alojamento temporário, ofertados em unidades de frequência individual ou coletiva de uso exclusivo de hóspede, bem como outros serviços necessários aos usuários, denominados serviços de hospedagem, mediante instrumento contratual, tácito ou expresso, e cobrança de diária. (Redação dada pela Lei nº 14.978, de 2024)</w:t>
      </w:r>
    </w:p>
    <w:p w14:paraId="772ED0A1" w14:textId="77777777" w:rsidR="003C6E87" w:rsidRPr="003C6E87" w:rsidRDefault="003C6E87" w:rsidP="003C6E87">
      <w:pPr>
        <w:jc w:val="both"/>
        <w:rPr>
          <w:rFonts w:ascii="Calibri" w:hAnsi="Calibri" w:cs="Calibri"/>
        </w:rPr>
      </w:pPr>
      <w:r w:rsidRPr="003C6E87">
        <w:rPr>
          <w:rFonts w:ascii="Calibri" w:hAnsi="Calibri" w:cs="Calibri"/>
        </w:rPr>
        <w:t>§ 1o  Os empreendimentos ou estabelecimentos de hospedagem que explorem ou administrem, em condomínios residenciais, a prestação de serviços de hospedagem em unidades mobiliadas e equipadas, bem como outros serviços oferecidos a hóspedes, estão sujeitos ao cadastro de que trata esta Lei e ao seu regulamento.</w:t>
      </w:r>
    </w:p>
    <w:p w14:paraId="4F25377E" w14:textId="77777777" w:rsidR="003C6E87" w:rsidRPr="003C6E87" w:rsidRDefault="003C6E87" w:rsidP="003C6E87">
      <w:pPr>
        <w:jc w:val="both"/>
        <w:rPr>
          <w:rFonts w:ascii="Calibri" w:hAnsi="Calibri" w:cs="Calibri"/>
        </w:rPr>
      </w:pPr>
      <w:r w:rsidRPr="003C6E87">
        <w:rPr>
          <w:rFonts w:ascii="Calibri" w:hAnsi="Calibri" w:cs="Calibri"/>
        </w:rPr>
        <w:t>§ 2o  Considera-se prestação de serviços de hospedagem em tempo compartilhado a administração de intercâmbio, entendida como organização e permuta de períodos de ocupação entre cessionários de unidades habitacionais de distintos meios de hospedagem.</w:t>
      </w:r>
    </w:p>
    <w:p w14:paraId="54AA7AE7" w14:textId="77777777" w:rsidR="003C6E87" w:rsidRPr="003C6E87" w:rsidRDefault="003C6E87" w:rsidP="003C6E87">
      <w:pPr>
        <w:jc w:val="both"/>
        <w:rPr>
          <w:rFonts w:ascii="Calibri" w:hAnsi="Calibri" w:cs="Calibri"/>
        </w:rPr>
      </w:pPr>
      <w:r w:rsidRPr="003C6E87">
        <w:rPr>
          <w:rFonts w:ascii="Calibri" w:hAnsi="Calibri" w:cs="Calibri"/>
        </w:rPr>
        <w:t>§ 3o  Não descaracteriza a prestação de serviços de hospedagem a divisão do empreendimento em unidades hoteleiras, assim entendida a atribuição de natureza jurídica autônoma às unidades habitacionais que o compõem, sob titularidade de diversas pessoas, desde que sua destinação funcional seja apenas e exclusivamente a de meio de hospedagem.</w:t>
      </w:r>
    </w:p>
    <w:p w14:paraId="625FD042" w14:textId="77777777" w:rsidR="003C6E87" w:rsidRPr="003C6E87" w:rsidRDefault="003C6E87" w:rsidP="003C6E87">
      <w:pPr>
        <w:jc w:val="both"/>
        <w:rPr>
          <w:rFonts w:ascii="Calibri" w:hAnsi="Calibri" w:cs="Calibri"/>
        </w:rPr>
      </w:pPr>
      <w:r w:rsidRPr="003C6E87">
        <w:rPr>
          <w:rFonts w:ascii="Calibri" w:hAnsi="Calibri" w:cs="Calibri"/>
        </w:rPr>
        <w:t>§ 4o  Entende-se por diária o preço de hospedagem correspondente à utilização da unidade habitacional e dos serviços incluídos, no período de 24 (vinte e quatro) horas, compreendido nos horários fixados para entrada e saída de hóspedes.</w:t>
      </w:r>
    </w:p>
    <w:p w14:paraId="016E813E" w14:textId="77777777" w:rsidR="003C6E87" w:rsidRPr="003C6E87" w:rsidRDefault="003C6E87" w:rsidP="003C6E87">
      <w:pPr>
        <w:jc w:val="both"/>
        <w:rPr>
          <w:rFonts w:ascii="Calibri" w:hAnsi="Calibri" w:cs="Calibri"/>
        </w:rPr>
      </w:pPr>
      <w:r w:rsidRPr="003C6E87">
        <w:rPr>
          <w:rFonts w:ascii="Calibri" w:hAnsi="Calibri" w:cs="Calibri"/>
        </w:rPr>
        <w:t>§ 5º (VETADO).     (Incluído pela Lei nº 14.978, de 2024)</w:t>
      </w:r>
    </w:p>
    <w:p w14:paraId="27E9D5C1" w14:textId="77777777" w:rsidR="003C6E87" w:rsidRPr="003C6E87" w:rsidRDefault="003C6E87" w:rsidP="003C6E87">
      <w:pPr>
        <w:jc w:val="both"/>
        <w:rPr>
          <w:rFonts w:ascii="Calibri" w:hAnsi="Calibri" w:cs="Calibri"/>
        </w:rPr>
      </w:pPr>
      <w:r w:rsidRPr="003C6E87">
        <w:rPr>
          <w:rFonts w:ascii="Calibri" w:hAnsi="Calibri" w:cs="Calibri"/>
        </w:rPr>
        <w:t>§ 6º O disposto no § 4º do caput deste artigo será regulamentado pelo Ministério do Turismo, para dispor sobre os procedimentos operacionais mínimos, relacionados à entrada e à saída do hóspede, considerando o tempo necessário para arrumação e higienização do ambiente da unidade habitacional.   (Incluído pela Lei nº 14.978, de 2024)</w:t>
      </w:r>
    </w:p>
    <w:p w14:paraId="0F4BADB3" w14:textId="77777777" w:rsidR="003C6E87" w:rsidRPr="003C6E87" w:rsidRDefault="003C6E87" w:rsidP="003C6E87">
      <w:pPr>
        <w:jc w:val="both"/>
        <w:rPr>
          <w:rFonts w:ascii="Calibri" w:hAnsi="Calibri" w:cs="Calibri"/>
        </w:rPr>
      </w:pPr>
      <w:r w:rsidRPr="003C6E87">
        <w:rPr>
          <w:rFonts w:ascii="Calibri" w:hAnsi="Calibri" w:cs="Calibri"/>
        </w:rPr>
        <w:t>§ 7º Os meios de hospedagem respondem objetiva e solidariamente pelos danos causados pelos serviços que prestarem.     (Incluído pela Lei nº 14.978, de 2024)</w:t>
      </w:r>
    </w:p>
    <w:p w14:paraId="4E01A150" w14:textId="77777777" w:rsidR="003C6E87" w:rsidRPr="003C6E87" w:rsidRDefault="003C6E87" w:rsidP="003C6E87">
      <w:pPr>
        <w:jc w:val="both"/>
        <w:rPr>
          <w:rFonts w:ascii="Calibri" w:hAnsi="Calibri" w:cs="Calibri"/>
        </w:rPr>
      </w:pPr>
      <w:r w:rsidRPr="003C6E87">
        <w:rPr>
          <w:rFonts w:ascii="Calibri" w:hAnsi="Calibri" w:cs="Calibri"/>
        </w:rPr>
        <w:t>§ 8º (VETADO).      (Incluído pela Lei nº 14.978, de 2024)</w:t>
      </w:r>
    </w:p>
    <w:p w14:paraId="2F966A28" w14:textId="77777777" w:rsidR="003C6E87" w:rsidRPr="003C6E87" w:rsidRDefault="003C6E87" w:rsidP="003C6E87">
      <w:pPr>
        <w:jc w:val="both"/>
        <w:rPr>
          <w:rFonts w:ascii="Calibri" w:hAnsi="Calibri" w:cs="Calibri"/>
        </w:rPr>
      </w:pPr>
    </w:p>
    <w:p w14:paraId="3873502E" w14:textId="77777777" w:rsidR="003C6E87" w:rsidRPr="003C6E87" w:rsidRDefault="003C6E87" w:rsidP="003C6E87">
      <w:pPr>
        <w:jc w:val="both"/>
        <w:rPr>
          <w:rFonts w:ascii="Calibri" w:hAnsi="Calibri" w:cs="Calibri"/>
        </w:rPr>
      </w:pPr>
      <w:r w:rsidRPr="003C6E87">
        <w:rPr>
          <w:rFonts w:ascii="Calibri" w:hAnsi="Calibri" w:cs="Calibri"/>
          <w:b/>
          <w:bCs/>
        </w:rPr>
        <w:t>Art. 23-A.</w:t>
      </w:r>
      <w:r w:rsidRPr="003C6E87">
        <w:rPr>
          <w:rFonts w:ascii="Calibri" w:hAnsi="Calibri" w:cs="Calibri"/>
        </w:rPr>
        <w:t xml:space="preserve"> (VETADO).     (Incluído pela Lei nº 14.978, de 2024)</w:t>
      </w:r>
    </w:p>
    <w:p w14:paraId="3AD7D1C6" w14:textId="77777777" w:rsidR="003C6E87" w:rsidRPr="003C6E87" w:rsidRDefault="003C6E87" w:rsidP="003C6E87">
      <w:pPr>
        <w:jc w:val="both"/>
        <w:rPr>
          <w:rFonts w:ascii="Calibri" w:hAnsi="Calibri" w:cs="Calibri"/>
        </w:rPr>
      </w:pPr>
    </w:p>
    <w:p w14:paraId="3ECA9BE1" w14:textId="05B5E0FB" w:rsidR="003C6E87" w:rsidRPr="003C6E87" w:rsidRDefault="003C6E87" w:rsidP="003C6E87">
      <w:pPr>
        <w:jc w:val="both"/>
        <w:rPr>
          <w:rFonts w:ascii="Calibri" w:hAnsi="Calibri" w:cs="Calibri"/>
        </w:rPr>
      </w:pPr>
      <w:r w:rsidRPr="003C6E87">
        <w:rPr>
          <w:rFonts w:ascii="Calibri" w:hAnsi="Calibri" w:cs="Calibri"/>
          <w:b/>
          <w:bCs/>
        </w:rPr>
        <w:t>Art. 24.</w:t>
      </w:r>
      <w:r w:rsidRPr="003C6E87">
        <w:rPr>
          <w:rFonts w:ascii="Calibri" w:hAnsi="Calibri" w:cs="Calibri"/>
        </w:rPr>
        <w:t xml:space="preserve">  Os meios de hospedagem, para obter o cadastramento, devem preencher pelo menos um dos seguintes requisitos:</w:t>
      </w:r>
    </w:p>
    <w:p w14:paraId="7DCAE512" w14:textId="77777777" w:rsidR="003C6E87" w:rsidRPr="003C6E87" w:rsidRDefault="003C6E87" w:rsidP="003C6E87">
      <w:pPr>
        <w:jc w:val="both"/>
        <w:rPr>
          <w:rFonts w:ascii="Calibri" w:hAnsi="Calibri" w:cs="Calibri"/>
        </w:rPr>
      </w:pPr>
      <w:r w:rsidRPr="003C6E87">
        <w:rPr>
          <w:rFonts w:ascii="Calibri" w:hAnsi="Calibri" w:cs="Calibri"/>
        </w:rPr>
        <w:t>I - possuir licença de funcionamento, expedida pela autoridade competente, para prestar serviços de hospedagem, podendo tal licença objetivar somente partes da edificação; e</w:t>
      </w:r>
    </w:p>
    <w:p w14:paraId="2CD8F6AB" w14:textId="77777777" w:rsidR="003C6E87" w:rsidRPr="003C6E87" w:rsidRDefault="003C6E87" w:rsidP="003C6E87">
      <w:pPr>
        <w:jc w:val="both"/>
        <w:rPr>
          <w:rFonts w:ascii="Calibri" w:hAnsi="Calibri" w:cs="Calibri"/>
        </w:rPr>
      </w:pPr>
      <w:r w:rsidRPr="003C6E87">
        <w:rPr>
          <w:rFonts w:ascii="Calibri" w:hAnsi="Calibri" w:cs="Calibri"/>
        </w:rPr>
        <w:t xml:space="preserve">II - no caso dos empreendimentos ou estabelecimentos conhecidos como condomínio hoteleiro, flat, flat-hotel, hotel-residence, loft, apart-hotel, apart-service condominial, condohotel e </w:t>
      </w:r>
      <w:r w:rsidRPr="003C6E87">
        <w:rPr>
          <w:rFonts w:ascii="Calibri" w:hAnsi="Calibri" w:cs="Calibri"/>
        </w:rPr>
        <w:lastRenderedPageBreak/>
        <w:t>similares, possuir licença edilícia de construção ou certificado de conclusão de construção, expedidos pela autoridade competente, acompanhados dos seguintes documentos:</w:t>
      </w:r>
    </w:p>
    <w:p w14:paraId="1A136152" w14:textId="3BB686BF" w:rsidR="003C6E87" w:rsidRPr="003C6E87" w:rsidRDefault="003C6E87" w:rsidP="003C6E87">
      <w:pPr>
        <w:jc w:val="both"/>
        <w:rPr>
          <w:rFonts w:ascii="Calibri" w:hAnsi="Calibri" w:cs="Calibri"/>
        </w:rPr>
      </w:pPr>
      <w:r w:rsidRPr="003C6E87">
        <w:rPr>
          <w:rFonts w:ascii="Calibri" w:hAnsi="Calibri" w:cs="Calibri"/>
          <w:strike/>
        </w:rPr>
        <w:t>a) convenção de condomínio ou memorial de incorporação ou, ainda, instrumento de instituição condominial, com previsão de prestação de serviços hoteleiros aos seus usuários, condôminos ou não, com oferta de alojamento temporário para hóspedes mediante contrato de hospedagem no sistema associativo, também conhecido como pool de locação;</w:t>
      </w:r>
      <w:r w:rsidRPr="003C6E87">
        <w:rPr>
          <w:rFonts w:ascii="Calibri" w:hAnsi="Calibri" w:cs="Calibri"/>
        </w:rPr>
        <w:t xml:space="preserve"> </w:t>
      </w:r>
      <w:r w:rsidR="003525FB">
        <w:rPr>
          <w:rFonts w:ascii="Calibri" w:hAnsi="Calibri" w:cs="Calibri"/>
        </w:rPr>
        <w:t xml:space="preserve">    </w:t>
      </w:r>
      <w:r w:rsidRPr="003C6E87">
        <w:rPr>
          <w:rFonts w:ascii="Calibri" w:hAnsi="Calibri" w:cs="Calibri"/>
        </w:rPr>
        <w:t>(Revogado pela Lei nº 14.978, de 2024)</w:t>
      </w:r>
    </w:p>
    <w:p w14:paraId="516A3EE8" w14:textId="77777777" w:rsidR="003C6E87" w:rsidRPr="003C6E87" w:rsidRDefault="003C6E87" w:rsidP="003C6E87">
      <w:pPr>
        <w:jc w:val="both"/>
        <w:rPr>
          <w:rFonts w:ascii="Calibri" w:hAnsi="Calibri" w:cs="Calibri"/>
        </w:rPr>
      </w:pPr>
      <w:r w:rsidRPr="003C6E87">
        <w:rPr>
          <w:rFonts w:ascii="Calibri" w:hAnsi="Calibri" w:cs="Calibri"/>
        </w:rPr>
        <w:t>b) documento ou contrato de formalização de constituição do pool de locação, como sociedade em conta de participação, ou outra forma legal de constituição, com a adesão dos proprietários de pelo menos 60% (sessenta por cento) das unidades habitacionais à exploração hoteleira do empreendimento;</w:t>
      </w:r>
    </w:p>
    <w:p w14:paraId="2BE88097" w14:textId="77777777" w:rsidR="003C6E87" w:rsidRPr="003C6E87" w:rsidRDefault="003C6E87" w:rsidP="003C6E87">
      <w:pPr>
        <w:jc w:val="both"/>
        <w:rPr>
          <w:rFonts w:ascii="Calibri" w:hAnsi="Calibri" w:cs="Calibri"/>
        </w:rPr>
      </w:pPr>
      <w:r w:rsidRPr="003C6E87">
        <w:rPr>
          <w:rFonts w:ascii="Calibri" w:hAnsi="Calibri" w:cs="Calibri"/>
          <w:strike/>
        </w:rPr>
        <w:t>c) contrato em que esteja formalizada a administração ou exploração, em regime solidário, do empreendimento imobiliário como meio de hospedagem de responsabilidade de prestador de serviço hoteleiro cadastrado no Ministério do Turismo;</w:t>
      </w:r>
      <w:r w:rsidRPr="003C6E87">
        <w:rPr>
          <w:rFonts w:ascii="Calibri" w:hAnsi="Calibri" w:cs="Calibri"/>
        </w:rPr>
        <w:t xml:space="preserve">    (Revogado pela Lei nº 14.978, de 2024)</w:t>
      </w:r>
    </w:p>
    <w:p w14:paraId="57BDF82B" w14:textId="77777777" w:rsidR="003C6E87" w:rsidRPr="003C6E87" w:rsidRDefault="003C6E87" w:rsidP="003C6E87">
      <w:pPr>
        <w:jc w:val="both"/>
        <w:rPr>
          <w:rFonts w:ascii="Calibri" w:hAnsi="Calibri" w:cs="Calibri"/>
        </w:rPr>
      </w:pPr>
      <w:r w:rsidRPr="003C6E87">
        <w:rPr>
          <w:rFonts w:ascii="Calibri" w:hAnsi="Calibri" w:cs="Calibri"/>
        </w:rPr>
        <w:t>d) certidão de cumprimento às regras de segurança contra riscos aplicáveis aos estabelecimentos comerciais; e</w:t>
      </w:r>
    </w:p>
    <w:p w14:paraId="7AEFB29F" w14:textId="77777777" w:rsidR="003C6E87" w:rsidRPr="003C6E87" w:rsidRDefault="003C6E87" w:rsidP="003C6E87">
      <w:pPr>
        <w:jc w:val="both"/>
        <w:rPr>
          <w:rFonts w:ascii="Calibri" w:hAnsi="Calibri" w:cs="Calibri"/>
        </w:rPr>
      </w:pPr>
      <w:r w:rsidRPr="003C6E87">
        <w:rPr>
          <w:rFonts w:ascii="Calibri" w:hAnsi="Calibri" w:cs="Calibri"/>
          <w:strike/>
        </w:rPr>
        <w:t>e) documento comprobatório de enquadramento sindical da categoria na atividade de hotéis, exigível a contar da data de eficácia do segundo dissídio coletivo celebrado na vigência desta Lei.</w:t>
      </w:r>
      <w:r w:rsidRPr="003C6E87">
        <w:rPr>
          <w:rFonts w:ascii="Calibri" w:hAnsi="Calibri" w:cs="Calibri"/>
        </w:rPr>
        <w:t xml:space="preserve">      (Revogado pela Lei nº 14.978, de 2024)</w:t>
      </w:r>
    </w:p>
    <w:p w14:paraId="38F744B0" w14:textId="77777777" w:rsidR="003C6E87" w:rsidRPr="003C6E87" w:rsidRDefault="003C6E87" w:rsidP="003C6E87">
      <w:pPr>
        <w:jc w:val="both"/>
        <w:rPr>
          <w:rFonts w:ascii="Calibri" w:hAnsi="Calibri" w:cs="Calibri"/>
        </w:rPr>
      </w:pPr>
      <w:r w:rsidRPr="003C6E87">
        <w:rPr>
          <w:rFonts w:ascii="Calibri" w:hAnsi="Calibri" w:cs="Calibri"/>
        </w:rPr>
        <w:t>§ 1o  Para a obtenção do cadastro no Ministério do Turismo, os empreendimentos de que trata o inciso II do caput deste artigo, caso a licença edilícia de construção tenha sido emitida após a vigência desta Lei, deverão apresentar, necessariamente, a licença de funcionamento.</w:t>
      </w:r>
    </w:p>
    <w:p w14:paraId="4A590995" w14:textId="77777777" w:rsidR="003C6E87" w:rsidRPr="003C6E87" w:rsidRDefault="003C6E87" w:rsidP="003C6E87">
      <w:pPr>
        <w:jc w:val="both"/>
        <w:rPr>
          <w:rFonts w:ascii="Calibri" w:hAnsi="Calibri" w:cs="Calibri"/>
        </w:rPr>
      </w:pPr>
      <w:r w:rsidRPr="003C6E87">
        <w:rPr>
          <w:rFonts w:ascii="Calibri" w:hAnsi="Calibri" w:cs="Calibri"/>
          <w:strike/>
        </w:rPr>
        <w:t>§ 2o  O disposto nesta Lei não se aplica aos empreendimentos imobiliários, organizados sob forma de condomínio, que contem com instalações e serviços de hotelaria à disposição dos moradores, cujos proprietários disponibilizem suas unidades exclusivamente para uso residencial ou para serem utilizadas por terceiros, com esta finalidade, por períodos superiores a 90 (noventa) dias, conforme legislação específica</w:t>
      </w:r>
      <w:r w:rsidRPr="003C6E87">
        <w:rPr>
          <w:rFonts w:ascii="Calibri" w:hAnsi="Calibri" w:cs="Calibri"/>
        </w:rPr>
        <w:t>.     (Revogado pela Lei nº 14.978, de 2024)</w:t>
      </w:r>
    </w:p>
    <w:p w14:paraId="54D174D7" w14:textId="77777777" w:rsidR="003C6E87" w:rsidRPr="003C6E87" w:rsidRDefault="003C6E87" w:rsidP="003C6E87">
      <w:pPr>
        <w:jc w:val="both"/>
        <w:rPr>
          <w:rFonts w:ascii="Calibri" w:hAnsi="Calibri" w:cs="Calibri"/>
        </w:rPr>
      </w:pPr>
    </w:p>
    <w:p w14:paraId="027C4E00" w14:textId="77777777" w:rsidR="003C6E87" w:rsidRPr="003C6E87" w:rsidRDefault="003C6E87" w:rsidP="003C6E87">
      <w:pPr>
        <w:jc w:val="both"/>
        <w:rPr>
          <w:rFonts w:ascii="Calibri" w:hAnsi="Calibri" w:cs="Calibri"/>
        </w:rPr>
      </w:pPr>
      <w:r w:rsidRPr="003525FB">
        <w:rPr>
          <w:rFonts w:ascii="Calibri" w:hAnsi="Calibri" w:cs="Calibri"/>
          <w:b/>
          <w:bCs/>
        </w:rPr>
        <w:t>Art. 25.</w:t>
      </w:r>
      <w:r w:rsidRPr="003C6E87">
        <w:rPr>
          <w:rFonts w:ascii="Calibri" w:hAnsi="Calibri" w:cs="Calibri"/>
        </w:rPr>
        <w:t xml:space="preserve">  O Poder Executivo  estabelecerá em regulamento:</w:t>
      </w:r>
    </w:p>
    <w:p w14:paraId="3D0758CA" w14:textId="77777777" w:rsidR="003C6E87" w:rsidRPr="003C6E87" w:rsidRDefault="003C6E87" w:rsidP="003C6E87">
      <w:pPr>
        <w:jc w:val="both"/>
        <w:rPr>
          <w:rFonts w:ascii="Calibri" w:hAnsi="Calibri" w:cs="Calibri"/>
        </w:rPr>
      </w:pPr>
      <w:r w:rsidRPr="003C6E87">
        <w:rPr>
          <w:rFonts w:ascii="Calibri" w:hAnsi="Calibri" w:cs="Calibri"/>
        </w:rPr>
        <w:t>I - as definições dos tipos e categorias de classificação e qualificação de empreendimentos e estabelecimentos de hospedagem, que poderão ser revistos a qualquer tempo;</w:t>
      </w:r>
    </w:p>
    <w:p w14:paraId="5BD41CE2" w14:textId="77777777" w:rsidR="003C6E87" w:rsidRPr="003C6E87" w:rsidRDefault="003C6E87" w:rsidP="003C6E87">
      <w:pPr>
        <w:jc w:val="both"/>
        <w:rPr>
          <w:rFonts w:ascii="Calibri" w:hAnsi="Calibri" w:cs="Calibri"/>
        </w:rPr>
      </w:pPr>
      <w:r w:rsidRPr="003C6E87">
        <w:rPr>
          <w:rFonts w:ascii="Calibri" w:hAnsi="Calibri" w:cs="Calibri"/>
        </w:rPr>
        <w:t>II - os padrões, critérios de qualidade, segurança, conforto e serviços previstos para cada tipo de categoria definido; e</w:t>
      </w:r>
    </w:p>
    <w:p w14:paraId="60112A6E" w14:textId="77777777" w:rsidR="003525FB" w:rsidRDefault="003C6E87" w:rsidP="003C6E87">
      <w:pPr>
        <w:jc w:val="both"/>
        <w:rPr>
          <w:rFonts w:ascii="Calibri" w:hAnsi="Calibri" w:cs="Calibri"/>
        </w:rPr>
      </w:pPr>
      <w:r w:rsidRPr="003C6E87">
        <w:rPr>
          <w:rFonts w:ascii="Calibri" w:hAnsi="Calibri" w:cs="Calibri"/>
        </w:rPr>
        <w:t>III - os requisitos mínimos relativos a serviços, aspectos construtivos, equipamentos e instalações indispensáveis ao deferimento do cadastro dos meios de hospedagem.</w:t>
      </w:r>
    </w:p>
    <w:p w14:paraId="025945A7" w14:textId="103BC56A" w:rsidR="003C6E87" w:rsidRPr="003C6E87" w:rsidRDefault="003C6E87" w:rsidP="003C6E87">
      <w:pPr>
        <w:jc w:val="both"/>
        <w:rPr>
          <w:rFonts w:ascii="Calibri" w:hAnsi="Calibri" w:cs="Calibri"/>
        </w:rPr>
      </w:pPr>
      <w:r w:rsidRPr="003525FB">
        <w:rPr>
          <w:rFonts w:ascii="Calibri" w:hAnsi="Calibri" w:cs="Calibri"/>
          <w:strike/>
        </w:rPr>
        <w:t>Parágrafo único.  A obtenção da classificação conferirá ao empreendimento chancela oficial representada por selos, certificados, placas e demais símbolos, o que será objeto de publicidade específica em página eletrônica do Ministério do Turismo, disponibilizada na rede mundial de computadores.</w:t>
      </w:r>
      <w:r w:rsidRPr="003C6E87">
        <w:rPr>
          <w:rFonts w:ascii="Calibri" w:hAnsi="Calibri" w:cs="Calibri"/>
        </w:rPr>
        <w:t xml:space="preserve">   (Revogado pela Lei nº 14.978, de 2024)</w:t>
      </w:r>
    </w:p>
    <w:p w14:paraId="35D1CF44" w14:textId="77777777" w:rsidR="003C6E87" w:rsidRPr="003C6E87" w:rsidRDefault="003C6E87" w:rsidP="003C6E87">
      <w:pPr>
        <w:jc w:val="both"/>
        <w:rPr>
          <w:rFonts w:ascii="Calibri" w:hAnsi="Calibri" w:cs="Calibri"/>
        </w:rPr>
      </w:pPr>
    </w:p>
    <w:p w14:paraId="4D093501" w14:textId="77777777" w:rsidR="003C6E87" w:rsidRPr="003C6E87" w:rsidRDefault="003C6E87" w:rsidP="003C6E87">
      <w:pPr>
        <w:jc w:val="both"/>
        <w:rPr>
          <w:rFonts w:ascii="Calibri" w:hAnsi="Calibri" w:cs="Calibri"/>
        </w:rPr>
      </w:pPr>
      <w:r w:rsidRPr="003525FB">
        <w:rPr>
          <w:rFonts w:ascii="Calibri" w:hAnsi="Calibri" w:cs="Calibri"/>
          <w:b/>
          <w:bCs/>
        </w:rPr>
        <w:lastRenderedPageBreak/>
        <w:t>Art. 26.</w:t>
      </w:r>
      <w:r w:rsidRPr="003C6E87">
        <w:rPr>
          <w:rFonts w:ascii="Calibri" w:hAnsi="Calibri" w:cs="Calibri"/>
        </w:rPr>
        <w:t xml:space="preserve">  Os meios de hospedagem deverão fornecer ao Ministério do Turismo, em periodicidade por ele determinada, as seguintes informações:</w:t>
      </w:r>
    </w:p>
    <w:p w14:paraId="2E51CEC6" w14:textId="77777777" w:rsidR="003C6E87" w:rsidRPr="003525FB" w:rsidRDefault="003C6E87" w:rsidP="003C6E87">
      <w:pPr>
        <w:jc w:val="both"/>
        <w:rPr>
          <w:rFonts w:ascii="Calibri" w:hAnsi="Calibri" w:cs="Calibri"/>
          <w:strike/>
        </w:rPr>
      </w:pPr>
      <w:r w:rsidRPr="003525FB">
        <w:rPr>
          <w:rFonts w:ascii="Calibri" w:hAnsi="Calibri" w:cs="Calibri"/>
          <w:strike/>
        </w:rPr>
        <w:t>I - perfil dos hóspedes recebidos, distinguindo-os por nacionalidade; e</w:t>
      </w:r>
    </w:p>
    <w:p w14:paraId="3C6C801B" w14:textId="77777777" w:rsidR="003C6E87" w:rsidRPr="003C6E87" w:rsidRDefault="003C6E87" w:rsidP="003C6E87">
      <w:pPr>
        <w:jc w:val="both"/>
        <w:rPr>
          <w:rFonts w:ascii="Calibri" w:hAnsi="Calibri" w:cs="Calibri"/>
        </w:rPr>
      </w:pPr>
      <w:r w:rsidRPr="003C6E87">
        <w:rPr>
          <w:rFonts w:ascii="Calibri" w:hAnsi="Calibri" w:cs="Calibri"/>
        </w:rPr>
        <w:t>I - o perfil dos hóspedes recebidos;    (Redação dada pela Lei nº 14.978, de 2024)</w:t>
      </w:r>
    </w:p>
    <w:p w14:paraId="7AEF45E4" w14:textId="77777777" w:rsidR="003C6E87" w:rsidRPr="003525FB" w:rsidRDefault="003C6E87" w:rsidP="003C6E87">
      <w:pPr>
        <w:jc w:val="both"/>
        <w:rPr>
          <w:rFonts w:ascii="Calibri" w:hAnsi="Calibri" w:cs="Calibri"/>
          <w:strike/>
        </w:rPr>
      </w:pPr>
      <w:r w:rsidRPr="003525FB">
        <w:rPr>
          <w:rFonts w:ascii="Calibri" w:hAnsi="Calibri" w:cs="Calibri"/>
          <w:strike/>
        </w:rPr>
        <w:t>II - registro quantitativo de hóspedes, taxas de ocupação, permanência média e número de hóspedes por unidade habitacional.</w:t>
      </w:r>
    </w:p>
    <w:p w14:paraId="2255512C" w14:textId="77777777" w:rsidR="003C6E87" w:rsidRPr="003C6E87" w:rsidRDefault="003C6E87" w:rsidP="003C6E87">
      <w:pPr>
        <w:jc w:val="both"/>
        <w:rPr>
          <w:rFonts w:ascii="Calibri" w:hAnsi="Calibri" w:cs="Calibri"/>
        </w:rPr>
      </w:pPr>
      <w:r w:rsidRPr="003C6E87">
        <w:rPr>
          <w:rFonts w:ascii="Calibri" w:hAnsi="Calibri" w:cs="Calibri"/>
        </w:rPr>
        <w:t>II - o registro quantitativo de hóspedes, inclusive as taxas de ocupação e de permanência, e o número médio de hóspedes por unidade habitacional.    (Redação dada pela Lei nº 14.978, de 2024)</w:t>
      </w:r>
    </w:p>
    <w:p w14:paraId="327ED0D6" w14:textId="77777777" w:rsidR="003C6E87" w:rsidRPr="003525FB" w:rsidRDefault="003C6E87" w:rsidP="003C6E87">
      <w:pPr>
        <w:jc w:val="both"/>
        <w:rPr>
          <w:rFonts w:ascii="Calibri" w:hAnsi="Calibri" w:cs="Calibri"/>
          <w:strike/>
        </w:rPr>
      </w:pPr>
      <w:r w:rsidRPr="003525FB">
        <w:rPr>
          <w:rFonts w:ascii="Calibri" w:hAnsi="Calibri" w:cs="Calibri"/>
          <w:strike/>
        </w:rPr>
        <w:t>Parágrafo único.  Para os fins deste artigo, os meios de hospedagem utilizarão as informações previstas nos impressos Ficha Nacional de Registro de Hóspedes - FNRH e Boletim de Ocupação Hoteleira - BOH, na forma em que dispuser o regulamento.</w:t>
      </w:r>
    </w:p>
    <w:p w14:paraId="1A863428" w14:textId="77777777" w:rsidR="003C6E87" w:rsidRPr="003C6E87" w:rsidRDefault="003C6E87" w:rsidP="003C6E87">
      <w:pPr>
        <w:jc w:val="both"/>
        <w:rPr>
          <w:rFonts w:ascii="Calibri" w:hAnsi="Calibri" w:cs="Calibri"/>
        </w:rPr>
      </w:pPr>
      <w:r w:rsidRPr="003C6E87">
        <w:rPr>
          <w:rFonts w:ascii="Calibri" w:hAnsi="Calibri" w:cs="Calibri"/>
        </w:rPr>
        <w:t>§ 1º Para os fins deste artigo, os meios de hospedagem fornecerão os dados determinados em regulamento, observadas as normas que protegem os direitos à privacidade e à intimidade do hóspede.    (Incluído pela Lei nº 14.978, de 2024)</w:t>
      </w:r>
    </w:p>
    <w:p w14:paraId="6D9E9E86" w14:textId="77777777" w:rsidR="003C6E87" w:rsidRPr="003C6E87" w:rsidRDefault="003C6E87" w:rsidP="003C6E87">
      <w:pPr>
        <w:jc w:val="both"/>
        <w:rPr>
          <w:rFonts w:ascii="Calibri" w:hAnsi="Calibri" w:cs="Calibri"/>
        </w:rPr>
      </w:pPr>
      <w:r w:rsidRPr="003C6E87">
        <w:rPr>
          <w:rFonts w:ascii="Calibri" w:hAnsi="Calibri" w:cs="Calibri"/>
        </w:rPr>
        <w:t>§ 2º Para os fins deste artigo, compete ao Ministério do Turismo estabelecer a periodicidade e os dados de interesse público que os meios de hospedagens fornecerão.    (Incluído pela Lei nº 14.978, de 2024)</w:t>
      </w:r>
    </w:p>
    <w:p w14:paraId="2CE41E7C" w14:textId="689B187A" w:rsidR="003C6E87" w:rsidRPr="003C6E87" w:rsidRDefault="003C6E87" w:rsidP="003C6E87">
      <w:pPr>
        <w:jc w:val="both"/>
        <w:rPr>
          <w:rFonts w:ascii="Calibri" w:hAnsi="Calibri" w:cs="Calibri"/>
        </w:rPr>
      </w:pPr>
      <w:r w:rsidRPr="003C6E87">
        <w:rPr>
          <w:rFonts w:ascii="Calibri" w:hAnsi="Calibri" w:cs="Calibri"/>
        </w:rPr>
        <w:t>§ 3º Havendo a intermediação dos serviços de hospedagem, o intermediário fica sujeito a fornecer os mesmos dados requeridos dos meios de hospedagem, nos termos de regulamento.    (Incluído pela Lei nº 14.978, de 2024)</w:t>
      </w:r>
    </w:p>
    <w:p w14:paraId="09A19F3C" w14:textId="6A539B98" w:rsidR="00237DE1" w:rsidRDefault="00237DE1">
      <w:pPr>
        <w:rPr>
          <w:b/>
          <w:bCs/>
          <w:u w:val="single"/>
        </w:rPr>
      </w:pPr>
      <w:r>
        <w:rPr>
          <w:b/>
          <w:bCs/>
          <w:u w:val="single"/>
        </w:rPr>
        <w:br w:type="page"/>
      </w:r>
    </w:p>
    <w:p w14:paraId="2485032B" w14:textId="77777777" w:rsidR="003525FB" w:rsidRDefault="003525FB" w:rsidP="003C6E87">
      <w:pPr>
        <w:jc w:val="center"/>
        <w:rPr>
          <w:b/>
          <w:bCs/>
          <w:u w:val="single"/>
        </w:rPr>
      </w:pPr>
    </w:p>
    <w:p w14:paraId="362F4AE0" w14:textId="68EB5A86" w:rsidR="00B11E34" w:rsidRDefault="00B11E34" w:rsidP="00B11E34">
      <w:pPr>
        <w:jc w:val="center"/>
        <w:rPr>
          <w:b/>
          <w:bCs/>
          <w:u w:val="single"/>
        </w:rPr>
      </w:pPr>
      <w:r>
        <w:rPr>
          <w:b/>
          <w:bCs/>
          <w:u w:val="single"/>
        </w:rPr>
        <w:t xml:space="preserve">DECRETO </w:t>
      </w:r>
      <w:r w:rsidRPr="00B11E34">
        <w:rPr>
          <w:b/>
          <w:bCs/>
          <w:u w:val="single"/>
        </w:rPr>
        <w:t>Nº 41</w:t>
      </w:r>
      <w:r w:rsidR="00622E21">
        <w:rPr>
          <w:b/>
          <w:bCs/>
          <w:u w:val="single"/>
        </w:rPr>
        <w:t>.</w:t>
      </w:r>
      <w:r w:rsidRPr="00B11E34">
        <w:rPr>
          <w:b/>
          <w:bCs/>
          <w:u w:val="single"/>
        </w:rPr>
        <w:t>827 DE 14 DE JUNHO DE 2016.</w:t>
      </w:r>
    </w:p>
    <w:p w14:paraId="606E4616" w14:textId="77777777" w:rsidR="00B11E34" w:rsidRPr="00B11E34" w:rsidRDefault="00B11E34" w:rsidP="00B11E34">
      <w:pPr>
        <w:jc w:val="center"/>
        <w:rPr>
          <w:b/>
          <w:bCs/>
        </w:rPr>
      </w:pPr>
      <w:r w:rsidRPr="00B11E34">
        <w:rPr>
          <w:b/>
          <w:bCs/>
        </w:rPr>
        <w:t>Simplifica e consolida os procedimentos relativos a licenciamento de estabelecimentos no Município do Rio de Janeiro.</w:t>
      </w:r>
    </w:p>
    <w:p w14:paraId="65EA5C2D" w14:textId="4F583BFB" w:rsidR="00B11E34" w:rsidRDefault="00B11E34" w:rsidP="00B11E34">
      <w:pPr>
        <w:rPr>
          <w:b/>
          <w:bCs/>
          <w:u w:val="single"/>
        </w:rPr>
      </w:pPr>
    </w:p>
    <w:p w14:paraId="600ED2CA" w14:textId="77777777" w:rsidR="00B11E34" w:rsidRPr="003F1D02" w:rsidRDefault="00B11E34" w:rsidP="00B11E34">
      <w:pPr>
        <w:jc w:val="both"/>
        <w:rPr>
          <w:rFonts w:ascii="Calibri" w:hAnsi="Calibri" w:cs="Calibri"/>
        </w:rPr>
      </w:pPr>
      <w:bookmarkStart w:id="16" w:name="artigo_5"/>
      <w:r w:rsidRPr="004C6BAF">
        <w:rPr>
          <w:rFonts w:ascii="Calibri" w:hAnsi="Calibri" w:cs="Calibri"/>
          <w:b/>
          <w:bCs/>
        </w:rPr>
        <w:t>Art. 5º</w:t>
      </w:r>
      <w:bookmarkEnd w:id="16"/>
      <w:r w:rsidRPr="003F1D02">
        <w:rPr>
          <w:rFonts w:ascii="Calibri" w:hAnsi="Calibri" w:cs="Calibri"/>
        </w:rPr>
        <w:t>. A localização e o funcionamento de estabelecimentos comerciais, prestadores de serviços, industriais, agrícolas, pecuários e extrativistas, bem como de sociedades, instituições e associações de qualquer natureza, pertencentes a quaisquer pessoas físicas e jurídicas, no Município do Rio de Janeiro, estão sujeitos a licenciamento prévio na Secretaria Municipal de Fazenda, observado o disposto neste Decreto, na legislação relativa ao uso e ocupação do solo e na Lei nº </w:t>
      </w:r>
      <w:hyperlink r:id="rId5" w:history="1">
        <w:r w:rsidRPr="004C6BAF">
          <w:t>691</w:t>
        </w:r>
      </w:hyperlink>
      <w:r w:rsidRPr="003F1D02">
        <w:rPr>
          <w:rFonts w:ascii="Calibri" w:hAnsi="Calibri" w:cs="Calibri"/>
        </w:rPr>
        <w:t xml:space="preserve">/84 (Código Tributário do Município do Rio de Janeiro). </w:t>
      </w:r>
    </w:p>
    <w:p w14:paraId="1BB49239" w14:textId="77777777" w:rsidR="004C6BAF" w:rsidRDefault="004C6BAF" w:rsidP="00B11E34">
      <w:pPr>
        <w:jc w:val="both"/>
        <w:rPr>
          <w:rFonts w:ascii="Calibri" w:hAnsi="Calibri" w:cs="Calibri"/>
        </w:rPr>
      </w:pPr>
    </w:p>
    <w:p w14:paraId="6DCA2E8C" w14:textId="7455D40B" w:rsidR="00B11E34" w:rsidRPr="003F1D02" w:rsidRDefault="00B11E34" w:rsidP="00B11E34">
      <w:pPr>
        <w:jc w:val="both"/>
        <w:rPr>
          <w:rFonts w:ascii="Calibri" w:hAnsi="Calibri" w:cs="Calibri"/>
        </w:rPr>
      </w:pPr>
      <w:r w:rsidRPr="003F1D02">
        <w:rPr>
          <w:rFonts w:ascii="Calibri" w:hAnsi="Calibri" w:cs="Calibri"/>
        </w:rPr>
        <w:t xml:space="preserve">§ 1º Considera-se estabelecimento, para os efeitos deste Decreto, qualquer local onde pessoas físicas ou jurídicas exerçam suas atividades. </w:t>
      </w:r>
    </w:p>
    <w:p w14:paraId="0B82D12A" w14:textId="77777777" w:rsidR="003F1D02" w:rsidRPr="003F1D02" w:rsidRDefault="003F1D02" w:rsidP="00B11E34">
      <w:pPr>
        <w:jc w:val="both"/>
        <w:rPr>
          <w:rFonts w:ascii="Calibri" w:hAnsi="Calibri" w:cs="Calibri"/>
        </w:rPr>
      </w:pPr>
    </w:p>
    <w:p w14:paraId="120FF1D3" w14:textId="01894E05" w:rsidR="00B11E34" w:rsidRPr="004C6BAF" w:rsidRDefault="00B11E34" w:rsidP="00B11E34">
      <w:pPr>
        <w:jc w:val="both"/>
        <w:rPr>
          <w:rFonts w:ascii="Calibri" w:hAnsi="Calibri" w:cs="Calibri"/>
          <w:b/>
          <w:bCs/>
        </w:rPr>
      </w:pPr>
      <w:r w:rsidRPr="004C6BAF">
        <w:rPr>
          <w:rFonts w:ascii="Calibri" w:hAnsi="Calibri" w:cs="Calibri"/>
          <w:b/>
          <w:bCs/>
        </w:rPr>
        <w:t>§ 2º A obrigação imposta neste artigo se aplica também ao exercício de atividades:</w:t>
      </w:r>
    </w:p>
    <w:p w14:paraId="73EFC6F4" w14:textId="77777777" w:rsidR="003F1D02" w:rsidRDefault="00B11E34" w:rsidP="00B11E34">
      <w:pPr>
        <w:jc w:val="both"/>
        <w:rPr>
          <w:rFonts w:ascii="Calibri" w:hAnsi="Calibri" w:cs="Calibri"/>
        </w:rPr>
      </w:pPr>
      <w:r w:rsidRPr="003F1D02">
        <w:rPr>
          <w:rFonts w:ascii="Calibri" w:hAnsi="Calibri" w:cs="Calibri"/>
        </w:rPr>
        <w:t>I - no interior de residências, inclusive como simples ponto de referência;</w:t>
      </w:r>
    </w:p>
    <w:p w14:paraId="68B592F6" w14:textId="0DD9B48A" w:rsidR="00B11E34" w:rsidRPr="003F1D02" w:rsidRDefault="00B11E34" w:rsidP="00B11E34">
      <w:pPr>
        <w:jc w:val="both"/>
        <w:rPr>
          <w:rFonts w:ascii="Calibri" w:hAnsi="Calibri" w:cs="Calibri"/>
        </w:rPr>
      </w:pPr>
      <w:r w:rsidRPr="003F1D02">
        <w:rPr>
          <w:rFonts w:ascii="Calibri" w:hAnsi="Calibri" w:cs="Calibri"/>
        </w:rPr>
        <w:t xml:space="preserve">II - em locais ocupados por estabelecimentos já licenciados, mesmo em caso de pretensão de licenciamento de atividade idêntica; </w:t>
      </w:r>
    </w:p>
    <w:p w14:paraId="67EA7CCC" w14:textId="77777777" w:rsidR="00B11E34" w:rsidRPr="003F1D02" w:rsidRDefault="00B11E34" w:rsidP="00B11E34">
      <w:pPr>
        <w:jc w:val="both"/>
        <w:rPr>
          <w:rFonts w:ascii="Calibri" w:hAnsi="Calibri" w:cs="Calibri"/>
        </w:rPr>
      </w:pPr>
      <w:r w:rsidRPr="003F1D02">
        <w:rPr>
          <w:rFonts w:ascii="Calibri" w:hAnsi="Calibri" w:cs="Calibri"/>
        </w:rPr>
        <w:t xml:space="preserve">III - por período determinado. </w:t>
      </w:r>
    </w:p>
    <w:p w14:paraId="4752860B" w14:textId="77777777" w:rsidR="00B11E34" w:rsidRPr="003F1D02" w:rsidRDefault="00B11E34" w:rsidP="00B11E34">
      <w:pPr>
        <w:jc w:val="both"/>
        <w:rPr>
          <w:rFonts w:ascii="Calibri" w:hAnsi="Calibri" w:cs="Calibri"/>
        </w:rPr>
      </w:pPr>
      <w:r w:rsidRPr="003F1D02">
        <w:rPr>
          <w:rFonts w:ascii="Calibri" w:hAnsi="Calibri" w:cs="Calibri"/>
        </w:rPr>
        <w:br/>
        <w:t>§ 3º Excluem-se da obrigação imposta neste artigo os estabelecimentos da União, dos Estados, do Distrito Federal e dos Municípios, bem como de suas autarquias e fundações, as sedes dos partidos políticos, as missões diplomáticas, os organismos internacionais reconhecidos pelo governo brasileiro, as associações de moradores e os templos religiosos.</w:t>
      </w:r>
      <w:r w:rsidRPr="003F1D02">
        <w:rPr>
          <w:rFonts w:ascii="Calibri" w:hAnsi="Calibri" w:cs="Calibri"/>
        </w:rPr>
        <w:br/>
      </w:r>
      <w:r w:rsidRPr="003F1D02">
        <w:rPr>
          <w:rFonts w:ascii="Calibri" w:hAnsi="Calibri" w:cs="Calibri"/>
        </w:rPr>
        <w:br/>
        <w:t>§ 4º Para os fins deste Decreto, entende-se como licenciamento de simples ponto de referência a concessão de alvará em imóvel residencial condicionada à proibição de exercício da atividade, circulação de mercadorias, atendimento, armazenagem e exibição de publicidade no local.</w:t>
      </w:r>
    </w:p>
    <w:p w14:paraId="0A9527F1" w14:textId="43ED28F7" w:rsidR="00B11E34" w:rsidRPr="004C6BAF" w:rsidRDefault="00B11E34" w:rsidP="00B11E34">
      <w:pPr>
        <w:jc w:val="both"/>
        <w:rPr>
          <w:rFonts w:ascii="Calibri" w:hAnsi="Calibri" w:cs="Calibri"/>
        </w:rPr>
      </w:pPr>
      <w:r w:rsidRPr="003F1D02">
        <w:rPr>
          <w:rFonts w:ascii="Calibri" w:hAnsi="Calibri" w:cs="Calibri"/>
        </w:rPr>
        <w:br/>
        <w:t>§ 5º As normas deste Decreto não se aplicam ao licenciamento de atividade caracterizada como evento, nos termos do Decreto nº 40.711, de 8 de outubro de 2015</w:t>
      </w:r>
      <w:r w:rsidRPr="004C6BAF">
        <w:rPr>
          <w:rFonts w:ascii="Calibri" w:hAnsi="Calibri" w:cs="Calibri"/>
        </w:rPr>
        <w:t>.</w:t>
      </w:r>
    </w:p>
    <w:p w14:paraId="7ECDF7DE" w14:textId="67C02454" w:rsidR="00237DE1" w:rsidRDefault="00237DE1">
      <w:pPr>
        <w:rPr>
          <w:b/>
          <w:bCs/>
          <w:u w:val="single"/>
        </w:rPr>
      </w:pPr>
      <w:r>
        <w:rPr>
          <w:b/>
          <w:bCs/>
          <w:u w:val="single"/>
        </w:rPr>
        <w:br w:type="page"/>
      </w:r>
    </w:p>
    <w:p w14:paraId="513E9E81" w14:textId="77777777" w:rsidR="00B11E34" w:rsidRDefault="00B11E34" w:rsidP="00304893">
      <w:pPr>
        <w:jc w:val="center"/>
        <w:rPr>
          <w:b/>
          <w:bCs/>
          <w:u w:val="single"/>
        </w:rPr>
      </w:pPr>
    </w:p>
    <w:p w14:paraId="1E672A14" w14:textId="58C9BD0E" w:rsidR="00304893" w:rsidRDefault="00304893" w:rsidP="00304893">
      <w:pPr>
        <w:jc w:val="center"/>
        <w:rPr>
          <w:b/>
          <w:bCs/>
          <w:u w:val="single"/>
        </w:rPr>
      </w:pPr>
      <w:r>
        <w:rPr>
          <w:b/>
          <w:bCs/>
          <w:u w:val="single"/>
        </w:rPr>
        <w:t>SUMULA VINCULANTE 31 STF</w:t>
      </w:r>
    </w:p>
    <w:p w14:paraId="43413171" w14:textId="71BE5F5F" w:rsidR="00304893" w:rsidRDefault="001803FA" w:rsidP="00304893">
      <w:pPr>
        <w:jc w:val="center"/>
        <w:rPr>
          <w:b/>
          <w:bCs/>
        </w:rPr>
      </w:pPr>
      <w:r w:rsidRPr="001803FA">
        <w:rPr>
          <w:b/>
          <w:bCs/>
        </w:rPr>
        <w:t>É inconstitucional a incidência do imposto sobre serviços de qualquer natureza - ISS sobre operações de locação de bens móveis.</w:t>
      </w:r>
    </w:p>
    <w:p w14:paraId="4A79E4EA" w14:textId="77777777" w:rsidR="001803FA" w:rsidRDefault="001803FA" w:rsidP="001803FA">
      <w:pPr>
        <w:rPr>
          <w:b/>
          <w:bCs/>
        </w:rPr>
      </w:pPr>
    </w:p>
    <w:p w14:paraId="2DAC61BC" w14:textId="5AA7E38B" w:rsidR="001803FA" w:rsidRPr="001803FA" w:rsidRDefault="001803FA" w:rsidP="001803FA">
      <w:pPr>
        <w:rPr>
          <w:b/>
          <w:bCs/>
          <w:u w:val="single"/>
        </w:rPr>
      </w:pPr>
      <w:r w:rsidRPr="001803FA">
        <w:rPr>
          <w:b/>
          <w:bCs/>
          <w:u w:val="single"/>
        </w:rPr>
        <w:t>Precedentes Representativos</w:t>
      </w:r>
    </w:p>
    <w:p w14:paraId="2D565C39" w14:textId="77777777" w:rsidR="001803FA" w:rsidRDefault="001803FA" w:rsidP="001803FA">
      <w:pPr>
        <w:jc w:val="both"/>
      </w:pPr>
      <w:r w:rsidRPr="001803FA">
        <w:t>IMPOSTO SOBRE SERVIÇOS (ISS). LOCAÇÃO DE VEÍCULO AUTOMOTOR. INADMISSIBILIDADE, EM TAL HIPÓTESE, DA INCIDÊNCIA DESSE TRIBUTO MUNICIPAL. DISTINÇÃO NECESSÁRIA ENTRE LOCAÇÃO DE BENS MÓVEIS (OBRIGAÇÃO DE DAR OU DE ENTREGAR) E PRESTAÇÃO DE SERVIÇOS (OBRIGAÇÃO DE FAZER). IMPOSSIBILIDADE DE A LEGISLAÇÃO TRIBUTÁRIA MUNICIPAL ALTERAR A DEFINIÇÃO E O ALCANCE DE CONCEITOS DE DIREITO PRIVADO (</w:t>
      </w:r>
      <w:hyperlink r:id="rId6" w:history="1">
        <w:r w:rsidRPr="001803FA">
          <w:rPr>
            <w:rStyle w:val="Hyperlink"/>
          </w:rPr>
          <w:t>CTN/1966</w:t>
        </w:r>
      </w:hyperlink>
      <w:r w:rsidRPr="001803FA">
        <w:t>, ART. 110). INCONSTITUCIONALIDADE DO ITEM 79 DA ANTIGA LISTA DE SERVIÇOS ANEXA AO </w:t>
      </w:r>
      <w:hyperlink r:id="rId7" w:history="1">
        <w:r w:rsidRPr="001803FA">
          <w:rPr>
            <w:rStyle w:val="Hyperlink"/>
          </w:rPr>
          <w:t>DL 406/1968</w:t>
        </w:r>
      </w:hyperlink>
      <w:r w:rsidRPr="001803FA">
        <w:t>. PRECEDENTES DO SUPREMO TRIBUNAL FEDERAL. RECURSO IMPROVIDO. Não se revela tributável, mediante ISS, a locação de veículos automotores (que consubstancia obrigação de dar ou de entregar), eis que esse tributo municipal somente pode incidir sobre obrigações de fazer, a cuja matriz conceitual não se ajusta a figura contratual da locação de bens móveis.</w:t>
      </w:r>
      <w:r>
        <w:t xml:space="preserve"> </w:t>
      </w:r>
    </w:p>
    <w:p w14:paraId="538C703D" w14:textId="45F04365" w:rsidR="001803FA" w:rsidRDefault="001803FA" w:rsidP="001803FA">
      <w:pPr>
        <w:jc w:val="both"/>
      </w:pPr>
      <w:r w:rsidRPr="001803FA">
        <w:t>[</w:t>
      </w:r>
      <w:hyperlink r:id="rId8" w:history="1">
        <w:r w:rsidRPr="001803FA">
          <w:rPr>
            <w:rStyle w:val="Hyperlink"/>
          </w:rPr>
          <w:t>RE 446.003 AgR</w:t>
        </w:r>
      </w:hyperlink>
      <w:r w:rsidRPr="001803FA">
        <w:t>, rel. min. Celso de Mello, 2ª T, j. 30-5-2006, </w:t>
      </w:r>
      <w:r w:rsidRPr="001803FA">
        <w:rPr>
          <w:i/>
          <w:iCs/>
        </w:rPr>
        <w:t>DJ </w:t>
      </w:r>
      <w:r w:rsidRPr="001803FA">
        <w:t>de 4-8-2006.]</w:t>
      </w:r>
    </w:p>
    <w:p w14:paraId="74AB438C" w14:textId="77777777" w:rsidR="001803FA" w:rsidRDefault="001803FA" w:rsidP="001803FA">
      <w:pPr>
        <w:jc w:val="both"/>
      </w:pPr>
    </w:p>
    <w:p w14:paraId="5A94DFCD" w14:textId="213CA6F0" w:rsidR="001803FA" w:rsidRPr="001803FA" w:rsidRDefault="001803FA" w:rsidP="001803FA">
      <w:pPr>
        <w:jc w:val="both"/>
      </w:pPr>
      <w:r w:rsidRPr="001803FA">
        <w:t>TRIBUTO. FIGURINO CONSTITUCIONAL. A supremacia da Carta Federal é conducente a glosar-se a cobrança de tributo discrepante daqueles nela previstos. Imposto Sobre Serviços. Contrato de locação. A terminologia constitucional do Imposto Sobre Serviços revela o objeto da tributação. Conflita com a</w:t>
      </w:r>
      <w:hyperlink r:id="rId9" w:history="1">
        <w:r w:rsidRPr="001803FA">
          <w:rPr>
            <w:rStyle w:val="Hyperlink"/>
          </w:rPr>
          <w:t> Lei Maior</w:t>
        </w:r>
      </w:hyperlink>
      <w:r w:rsidRPr="001803FA">
        <w:t> dispositivo que imponha o tributo considerado contrato de locação de bem móvel. Em Direito, os institutos, as expressões e os vocábulos têm sentido próprio, descabendo confundir a locação de serviços com a de móveis, práticas diversas regidas pelo </w:t>
      </w:r>
      <w:hyperlink r:id="rId10" w:history="1">
        <w:r w:rsidRPr="001803FA">
          <w:rPr>
            <w:rStyle w:val="Hyperlink"/>
          </w:rPr>
          <w:t>Código Civil/1916</w:t>
        </w:r>
      </w:hyperlink>
      <w:r w:rsidRPr="001803FA">
        <w:t>, cujas definições são de observância inafastável — art. 110 do </w:t>
      </w:r>
      <w:hyperlink r:id="rId11" w:history="1">
        <w:r w:rsidRPr="001803FA">
          <w:rPr>
            <w:rStyle w:val="Hyperlink"/>
          </w:rPr>
          <w:t>CTN/1966</w:t>
        </w:r>
      </w:hyperlink>
      <w:r w:rsidRPr="001803FA">
        <w:t>.</w:t>
      </w:r>
      <w:r w:rsidRPr="001803FA">
        <w:br/>
      </w:r>
      <w:r w:rsidRPr="00414441">
        <w:rPr>
          <w:lang w:val="en-US"/>
        </w:rPr>
        <w:t>[</w:t>
      </w:r>
      <w:hyperlink r:id="rId12" w:history="1">
        <w:r w:rsidRPr="00414441">
          <w:rPr>
            <w:rStyle w:val="Hyperlink"/>
            <w:b/>
            <w:bCs/>
            <w:lang w:val="en-US"/>
          </w:rPr>
          <w:t>RE 116.121</w:t>
        </w:r>
      </w:hyperlink>
      <w:r w:rsidRPr="00414441">
        <w:rPr>
          <w:lang w:val="en-US"/>
        </w:rPr>
        <w:t>, rel. min. Octavio Gallotti, red. p/ o ac. min. </w:t>
      </w:r>
      <w:r w:rsidRPr="001803FA">
        <w:t>Marco Aurélio, P, j. 11-10-2000, </w:t>
      </w:r>
      <w:r w:rsidRPr="001803FA">
        <w:rPr>
          <w:i/>
          <w:iCs/>
        </w:rPr>
        <w:t>DJ </w:t>
      </w:r>
      <w:r w:rsidRPr="001803FA">
        <w:t>de 25-5-2001.]</w:t>
      </w:r>
    </w:p>
    <w:p w14:paraId="4319DDEB" w14:textId="39C0069B" w:rsidR="00237DE1" w:rsidRDefault="00237DE1">
      <w:r>
        <w:br w:type="page"/>
      </w:r>
    </w:p>
    <w:p w14:paraId="0750DA2F" w14:textId="6418E1B3" w:rsidR="00237DE1" w:rsidRDefault="004A0036" w:rsidP="004A0036">
      <w:pPr>
        <w:jc w:val="center"/>
        <w:rPr>
          <w:b/>
          <w:bCs/>
        </w:rPr>
      </w:pPr>
      <w:r w:rsidRPr="004A0036">
        <w:rPr>
          <w:b/>
          <w:bCs/>
          <w:u w:val="single"/>
        </w:rPr>
        <w:lastRenderedPageBreak/>
        <w:t>LEI COMPLEMENTAR Nº 214, DE 16 DE JANEIRO DE 2025</w:t>
      </w:r>
      <w:r w:rsidRPr="00237DE1">
        <w:rPr>
          <w:b/>
          <w:bCs/>
        </w:rPr>
        <w:t xml:space="preserve"> </w:t>
      </w:r>
    </w:p>
    <w:p w14:paraId="1B95EC00" w14:textId="500913FE" w:rsidR="004A0036" w:rsidRDefault="004A0036" w:rsidP="004A0036">
      <w:pPr>
        <w:jc w:val="center"/>
        <w:rPr>
          <w:b/>
          <w:bCs/>
        </w:rPr>
      </w:pPr>
      <w:r w:rsidRPr="004A0036">
        <w:rPr>
          <w:b/>
          <w:bCs/>
        </w:rPr>
        <w:t>Institui o Imposto sobre Bens e Serviços (IBS), a Contribuição Social sobre Bens e Serviços (CBS) e o Imposto Seletivo (IS); cria o Comitê Gestor do IBS e altera a legislação tributária.</w:t>
      </w:r>
    </w:p>
    <w:p w14:paraId="48122680" w14:textId="77777777" w:rsidR="006D4F24" w:rsidRDefault="006D4F24" w:rsidP="004A0036">
      <w:pPr>
        <w:jc w:val="both"/>
        <w:rPr>
          <w:b/>
          <w:bCs/>
        </w:rPr>
      </w:pPr>
    </w:p>
    <w:p w14:paraId="1F4335D0" w14:textId="412BCADC" w:rsidR="004A0036" w:rsidRDefault="00B039FC" w:rsidP="004A0036">
      <w:pPr>
        <w:jc w:val="both"/>
        <w:rPr>
          <w:b/>
          <w:bCs/>
        </w:rPr>
      </w:pPr>
      <w:r w:rsidRPr="00B039FC">
        <w:rPr>
          <w:b/>
          <w:bCs/>
        </w:rPr>
        <w:t>Art. 253.</w:t>
      </w:r>
      <w:r w:rsidR="00237DE1">
        <w:rPr>
          <w:b/>
          <w:bCs/>
        </w:rPr>
        <w:t xml:space="preserve"> </w:t>
      </w:r>
      <w:r w:rsidRPr="00B039FC">
        <w:t xml:space="preserve">A locação, cessão onerosa ou arrendamento de bem imóvel residencial por contribuinte sujeito ao regime regular do IBS e da CBS, </w:t>
      </w:r>
      <w:r w:rsidRPr="00237DE1">
        <w:rPr>
          <w:u w:val="single"/>
        </w:rPr>
        <w:t>com período não superior a 90 (noventa) dias ininterruptos, serão tributados de acordo com as mesmas regras aplicáveis aos serviços de hotelaria</w:t>
      </w:r>
      <w:r w:rsidRPr="00B039FC">
        <w:t>, previstas na Seção II do Capítulo VII do Título V deste Livro.</w:t>
      </w:r>
    </w:p>
    <w:bookmarkStart w:id="17" w:name="art277"/>
    <w:bookmarkEnd w:id="17"/>
    <w:p w14:paraId="17CEAAFC" w14:textId="32311AA0" w:rsidR="00B039FC" w:rsidRDefault="00B039FC" w:rsidP="004A0036">
      <w:pPr>
        <w:spacing w:after="0"/>
        <w:jc w:val="both"/>
      </w:pPr>
      <w:r>
        <w:rPr>
          <w:noProof/>
        </w:rPr>
        <mc:AlternateContent>
          <mc:Choice Requires="wps">
            <w:drawing>
              <wp:anchor distT="0" distB="0" distL="114300" distR="114300" simplePos="0" relativeHeight="251659264" behindDoc="0" locked="0" layoutInCell="1" allowOverlap="1" wp14:anchorId="20D73EC6" wp14:editId="68D8718B">
                <wp:simplePos x="0" y="0"/>
                <wp:positionH relativeFrom="column">
                  <wp:posOffset>-19087</wp:posOffset>
                </wp:positionH>
                <wp:positionV relativeFrom="paragraph">
                  <wp:posOffset>143234</wp:posOffset>
                </wp:positionV>
                <wp:extent cx="5426015" cy="17253"/>
                <wp:effectExtent l="0" t="0" r="22860" b="20955"/>
                <wp:wrapNone/>
                <wp:docPr id="1195961675" name="Conector reto 1"/>
                <wp:cNvGraphicFramePr/>
                <a:graphic xmlns:a="http://schemas.openxmlformats.org/drawingml/2006/main">
                  <a:graphicData uri="http://schemas.microsoft.com/office/word/2010/wordprocessingShape">
                    <wps:wsp>
                      <wps:cNvCnPr/>
                      <wps:spPr>
                        <a:xfrm flipV="1">
                          <a:off x="0" y="0"/>
                          <a:ext cx="5426015" cy="17253"/>
                        </a:xfrm>
                        <a:prstGeom prst="line">
                          <a:avLst/>
                        </a:prstGeom>
                        <a:ln>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7817938" id="Conector re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pt,11.3pt" to="425.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" strokecolor="#156082 [3204]" strokeweight=".5pt">
                <v:stroke joinstyle="miter"/>
              </v:line>
            </w:pict>
          </mc:Fallback>
        </mc:AlternateContent>
      </w:r>
    </w:p>
    <w:p w14:paraId="18420548" w14:textId="77777777" w:rsidR="00B039FC" w:rsidRDefault="00B039FC" w:rsidP="00237DE1">
      <w:pPr>
        <w:jc w:val="both"/>
      </w:pPr>
    </w:p>
    <w:p w14:paraId="4F5B548F" w14:textId="6E824FF3" w:rsidR="004A0036" w:rsidRPr="004A0036" w:rsidRDefault="004A0036" w:rsidP="00237DE1">
      <w:pPr>
        <w:jc w:val="both"/>
      </w:pPr>
      <w:r w:rsidRPr="004A0036">
        <w:t>Art. 277. Os serviços de hotelaria, parques de diversão e parques temáticos ficam sujeitos a regime específico de incidência do IBS e da CBS, de acordo com o disposto nesta Seção.</w:t>
      </w:r>
    </w:p>
    <w:p w14:paraId="74971560" w14:textId="77777777" w:rsidR="004A0036" w:rsidRDefault="004A0036" w:rsidP="00237DE1">
      <w:pPr>
        <w:jc w:val="both"/>
      </w:pPr>
      <w:bookmarkStart w:id="18" w:name="art278"/>
      <w:bookmarkEnd w:id="18"/>
    </w:p>
    <w:p w14:paraId="7DC7CAD0" w14:textId="7162C11B" w:rsidR="004A0036" w:rsidRPr="004A0036" w:rsidRDefault="004A0036" w:rsidP="004A0036">
      <w:pPr>
        <w:jc w:val="both"/>
      </w:pPr>
      <w:r w:rsidRPr="004A0036">
        <w:t>Art. 278. Para efeitos do disposto nesta Lei Complementar, considera-se serviço de hotelaria o fornecimento de alojamento temporário, bem como de outros serviços incluídos no valor cobrado pela hospedagem, em:</w:t>
      </w:r>
    </w:p>
    <w:p w14:paraId="74BC8EBC" w14:textId="77777777" w:rsidR="004A0036" w:rsidRPr="004A0036" w:rsidRDefault="004A0036" w:rsidP="004A0036">
      <w:pPr>
        <w:jc w:val="both"/>
      </w:pPr>
      <w:r w:rsidRPr="004A0036">
        <w:t>I - unidades de uso exclusivo dos hóspedes, por estabelecimento destinado a essa finalidade; ou</w:t>
      </w:r>
    </w:p>
    <w:p w14:paraId="00BCC833" w14:textId="77777777" w:rsidR="004A0036" w:rsidRPr="004A0036" w:rsidRDefault="004A0036" w:rsidP="004A0036">
      <w:pPr>
        <w:jc w:val="both"/>
      </w:pPr>
      <w:r w:rsidRPr="004A0036">
        <w:t>II - imóvel residencial mobiliado, ainda que de uso não exclusivo dos hóspedes.</w:t>
      </w:r>
    </w:p>
    <w:p w14:paraId="6558F06B" w14:textId="77777777" w:rsidR="004A0036" w:rsidRPr="004A0036" w:rsidRDefault="004A0036" w:rsidP="004A0036">
      <w:pPr>
        <w:jc w:val="both"/>
      </w:pPr>
      <w:r w:rsidRPr="004A0036">
        <w:t>Parágrafo único. Não descaracteriza o fornecimento de serviços de hotelaria a divisão do empreendimento em unidades hoteleiras, assim entendida a atribuição de natureza jurídica autônoma às unidades habitacionais que o compõem, sob titularidade de diversas pessoas, desde que sua destinação funcional seja exclusivamente a de hospedagem.</w:t>
      </w:r>
    </w:p>
    <w:p w14:paraId="4C8CC908" w14:textId="77777777" w:rsidR="00237DE1" w:rsidRDefault="00237DE1" w:rsidP="004A0036">
      <w:pPr>
        <w:jc w:val="both"/>
      </w:pPr>
      <w:bookmarkStart w:id="19" w:name="art279"/>
      <w:bookmarkEnd w:id="19"/>
    </w:p>
    <w:p w14:paraId="200C12F0" w14:textId="05C408A8" w:rsidR="004A0036" w:rsidRPr="004A0036" w:rsidRDefault="004A0036" w:rsidP="004A0036">
      <w:pPr>
        <w:jc w:val="both"/>
      </w:pPr>
      <w:r w:rsidRPr="004A0036">
        <w:t>Art. 279. Para efeitos do disposto nesta Lei Complementar, consideram-se:</w:t>
      </w:r>
    </w:p>
    <w:p w14:paraId="0A3F4CDE" w14:textId="77777777" w:rsidR="004A0036" w:rsidRPr="004A0036" w:rsidRDefault="004A0036" w:rsidP="004A0036">
      <w:pPr>
        <w:jc w:val="both"/>
      </w:pPr>
      <w:r w:rsidRPr="004A0036">
        <w:t>I - parque de diversão: o estabelecimento ou empreendimento permanente ou itinerante, cuja atividade essencial é a disponibilização de atrações destinadas a entreter pessoas e fruídas presencialmente no local da disponibilização; e</w:t>
      </w:r>
    </w:p>
    <w:p w14:paraId="3974A5A8" w14:textId="77777777" w:rsidR="004A0036" w:rsidRPr="004A0036" w:rsidRDefault="004A0036" w:rsidP="004A0036">
      <w:pPr>
        <w:jc w:val="both"/>
      </w:pPr>
      <w:r w:rsidRPr="004A0036">
        <w:t>II - parque temático: o parque de diversão com inspiração em tema histórico, cultural, etnográfico, lúdico ou ambiental.</w:t>
      </w:r>
    </w:p>
    <w:p w14:paraId="45FA77D2" w14:textId="77777777" w:rsidR="004A0036" w:rsidRDefault="004A0036" w:rsidP="00237DE1">
      <w:pPr>
        <w:jc w:val="both"/>
      </w:pPr>
      <w:bookmarkStart w:id="20" w:name="art280"/>
      <w:bookmarkEnd w:id="20"/>
    </w:p>
    <w:p w14:paraId="4B040309" w14:textId="631C0BB8" w:rsidR="004A0036" w:rsidRPr="004A0036" w:rsidRDefault="004A0036" w:rsidP="00237DE1">
      <w:pPr>
        <w:jc w:val="both"/>
      </w:pPr>
      <w:r w:rsidRPr="004A0036">
        <w:t>Art. 280. A base de cálculo do IBS e da CBS é o valor da operação com serviços de hotelaria, parques de diversão e parques temáticos.</w:t>
      </w:r>
    </w:p>
    <w:p w14:paraId="34134E91" w14:textId="77777777" w:rsidR="004A0036" w:rsidRDefault="004A0036" w:rsidP="00237DE1">
      <w:pPr>
        <w:jc w:val="both"/>
      </w:pPr>
      <w:bookmarkStart w:id="21" w:name="art281"/>
      <w:bookmarkEnd w:id="21"/>
    </w:p>
    <w:p w14:paraId="73F54469" w14:textId="34D3954C" w:rsidR="004A0036" w:rsidRPr="004A0036" w:rsidRDefault="004A0036" w:rsidP="00237DE1">
      <w:pPr>
        <w:jc w:val="both"/>
      </w:pPr>
      <w:r w:rsidRPr="004A0036">
        <w:t>Art. 281. As alíquotas do IBS e da CBS relativas às operações de que trata este Capítulo ficam reduzidas em 40% (quarenta por cento).</w:t>
      </w:r>
    </w:p>
    <w:p w14:paraId="234E6FAD" w14:textId="0309B555" w:rsidR="004A0036" w:rsidRPr="004A0036" w:rsidRDefault="004A0036" w:rsidP="00237DE1">
      <w:pPr>
        <w:jc w:val="both"/>
      </w:pPr>
      <w:bookmarkStart w:id="22" w:name="art282"/>
      <w:bookmarkEnd w:id="22"/>
      <w:r w:rsidRPr="004A0036">
        <w:lastRenderedPageBreak/>
        <w:t>Art. 282.</w:t>
      </w:r>
      <w:r w:rsidR="00237DE1">
        <w:t xml:space="preserve"> </w:t>
      </w:r>
      <w:r w:rsidRPr="004A0036">
        <w:t>Ficam permitidas a apropriação e a utilização de créditos de IBS e de CBS nas aquisições de bens e serviços pelos fornecedores de serviços de hotelaria, parques de diversão e parques temáticos, observado o disposto nos arts. 47 a 56 desta Lei Complementar.</w:t>
      </w:r>
    </w:p>
    <w:p w14:paraId="4707709A" w14:textId="77777777" w:rsidR="004A0036" w:rsidRDefault="004A0036" w:rsidP="00237DE1">
      <w:pPr>
        <w:jc w:val="both"/>
      </w:pPr>
      <w:bookmarkStart w:id="23" w:name="art283"/>
      <w:bookmarkEnd w:id="23"/>
    </w:p>
    <w:p w14:paraId="131EF952" w14:textId="3D217161" w:rsidR="004A0036" w:rsidRPr="004A0036" w:rsidRDefault="004A0036" w:rsidP="00237DE1">
      <w:pPr>
        <w:jc w:val="both"/>
      </w:pPr>
      <w:r w:rsidRPr="004A0036">
        <w:t>Art. 283. Fica vedada a apropriação de créditos de IBS e de CBS pelo adquirente dos serviços de hotelaria, parques de diversão e parques temáticos.</w:t>
      </w:r>
    </w:p>
    <w:p w14:paraId="1E397222" w14:textId="77777777" w:rsidR="004A0036" w:rsidRDefault="004A0036" w:rsidP="004A0036">
      <w:pPr>
        <w:rPr>
          <w:b/>
          <w:bCs/>
        </w:rPr>
      </w:pPr>
    </w:p>
    <w:p w14:paraId="2AE87988" w14:textId="42D95E56" w:rsidR="00237DE1" w:rsidRDefault="00237DE1">
      <w:pPr>
        <w:rPr>
          <w:b/>
          <w:bCs/>
        </w:rPr>
      </w:pPr>
    </w:p>
    <w:p w14:paraId="4F84A712" w14:textId="2B672EDD" w:rsidR="006D4F24" w:rsidRPr="006D4F24" w:rsidRDefault="006D4F24" w:rsidP="006D4F24">
      <w:pPr>
        <w:jc w:val="both"/>
        <w:rPr>
          <w:b/>
          <w:bCs/>
        </w:rPr>
      </w:pPr>
      <w:r w:rsidRPr="006D4F24">
        <w:rPr>
          <w:b/>
          <w:bCs/>
        </w:rPr>
        <w:t xml:space="preserve">Art. 544. </w:t>
      </w:r>
      <w:r w:rsidRPr="006D4F24">
        <w:t xml:space="preserve">Esta Lei Complementar entra em vigor na data de sua publicação, </w:t>
      </w:r>
      <w:r w:rsidRPr="006D4F24">
        <w:rPr>
          <w:b/>
          <w:bCs/>
        </w:rPr>
        <w:t>produzindo efeitos:</w:t>
      </w:r>
    </w:p>
    <w:p w14:paraId="5D26DA7B" w14:textId="051147A4" w:rsidR="006D4F24" w:rsidRPr="006D4F24" w:rsidRDefault="006D4F24" w:rsidP="006D4F24">
      <w:pPr>
        <w:jc w:val="both"/>
        <w:rPr>
          <w:b/>
          <w:bCs/>
        </w:rPr>
      </w:pPr>
      <w:r w:rsidRPr="006D4F24">
        <w:rPr>
          <w:b/>
          <w:bCs/>
        </w:rPr>
        <w:t>VI - a partir de 1º de janeiro de 2026, em relação aos demais dispositivos.</w:t>
      </w:r>
    </w:p>
    <w:p w14:paraId="5E93EDC8" w14:textId="6C1600EC" w:rsidR="006D4F24" w:rsidRDefault="006D4F24">
      <w:pPr>
        <w:rPr>
          <w:b/>
          <w:bCs/>
        </w:rPr>
      </w:pPr>
      <w:r>
        <w:rPr>
          <w:b/>
          <w:bCs/>
        </w:rPr>
        <w:br w:type="page"/>
      </w:r>
    </w:p>
    <w:p w14:paraId="232E53D3" w14:textId="77777777" w:rsidR="006D4F24" w:rsidRDefault="006D4F24">
      <w:pPr>
        <w:rPr>
          <w:b/>
          <w:bCs/>
        </w:rPr>
      </w:pPr>
    </w:p>
    <w:p w14:paraId="0ED44540" w14:textId="0D2E55DE" w:rsidR="004A0036" w:rsidRDefault="004A0036" w:rsidP="004A0036">
      <w:pPr>
        <w:jc w:val="center"/>
        <w:rPr>
          <w:b/>
          <w:bCs/>
          <w:u w:val="single"/>
        </w:rPr>
      </w:pPr>
      <w:r w:rsidRPr="003C6E87">
        <w:rPr>
          <w:b/>
          <w:bCs/>
          <w:u w:val="single"/>
        </w:rPr>
        <w:t xml:space="preserve">LEI DE </w:t>
      </w:r>
      <w:r>
        <w:rPr>
          <w:b/>
          <w:bCs/>
          <w:u w:val="single"/>
        </w:rPr>
        <w:t>LOCAÇÃO</w:t>
      </w:r>
      <w:r w:rsidRPr="003C6E87">
        <w:rPr>
          <w:b/>
          <w:bCs/>
          <w:u w:val="single"/>
        </w:rPr>
        <w:t xml:space="preserve"> - LEI Nº </w:t>
      </w:r>
      <w:r w:rsidRPr="004A0036">
        <w:rPr>
          <w:b/>
          <w:bCs/>
          <w:u w:val="single"/>
        </w:rPr>
        <w:t>8.245, DE 18  DE OUTUBRO DE 1991</w:t>
      </w:r>
    </w:p>
    <w:p w14:paraId="6224A0E0" w14:textId="2512A518" w:rsidR="004A0036" w:rsidRPr="004A0036" w:rsidRDefault="004A0036" w:rsidP="004A0036">
      <w:pPr>
        <w:jc w:val="center"/>
        <w:rPr>
          <w:b/>
          <w:bCs/>
        </w:rPr>
      </w:pPr>
      <w:r w:rsidRPr="004A0036">
        <w:rPr>
          <w:b/>
          <w:bCs/>
        </w:rPr>
        <w:t>Dispõe sobre as locações dos imóveis urbanos e os procedimentos a elas pertinentes</w:t>
      </w:r>
    </w:p>
    <w:p w14:paraId="33E37D26" w14:textId="77777777" w:rsidR="004A0036" w:rsidRDefault="004A0036" w:rsidP="004A0036">
      <w:pPr>
        <w:rPr>
          <w:b/>
          <w:bCs/>
        </w:rPr>
      </w:pPr>
    </w:p>
    <w:p w14:paraId="66EA9F19" w14:textId="21F0F493" w:rsidR="004A0036" w:rsidRPr="004A0036" w:rsidRDefault="004A0036" w:rsidP="004A0036">
      <w:pPr>
        <w:rPr>
          <w:b/>
          <w:bCs/>
        </w:rPr>
      </w:pPr>
      <w:r w:rsidRPr="004A0036">
        <w:rPr>
          <w:b/>
          <w:bCs/>
        </w:rPr>
        <w:t>Das locação para temporada</w:t>
      </w:r>
    </w:p>
    <w:p w14:paraId="51E66A4E" w14:textId="77777777" w:rsidR="004A0036" w:rsidRPr="004A0036" w:rsidRDefault="004A0036" w:rsidP="004A0036">
      <w:pPr>
        <w:jc w:val="both"/>
      </w:pPr>
      <w:bookmarkStart w:id="24" w:name="art48"/>
      <w:bookmarkEnd w:id="24"/>
      <w:r w:rsidRPr="004A0036">
        <w:t>Art. 48. Considera </w:t>
      </w:r>
      <w:r w:rsidRPr="004A0036">
        <w:rPr>
          <w:i/>
          <w:iCs/>
        </w:rPr>
        <w:t>-</w:t>
      </w:r>
      <w:r w:rsidRPr="004A0036">
        <w:t> se locação para temporada aquela destinada à residência temporária do locatário, para prática de lazer, realização de cursos, tratamento de saúde, feitura de obras em seu imóvel, e outros fatos que decorrem tão-somente de determinado tempo, e contratada por prazo não superior a noventa dias, esteja ou não mobiliado o imóvel.</w:t>
      </w:r>
    </w:p>
    <w:p w14:paraId="0F892594" w14:textId="77777777" w:rsidR="004A0036" w:rsidRPr="004A0036" w:rsidRDefault="004A0036" w:rsidP="004A0036">
      <w:pPr>
        <w:jc w:val="both"/>
      </w:pPr>
      <w:r w:rsidRPr="004A0036">
        <w:t>Parágrafo único. No caso de a locação envolver imóvel mobiliado, constará do contrato, obrigatoriamente, a descrição dos móveis e utensílios que o guarnecem, bem como o estado em que se encontram.</w:t>
      </w:r>
    </w:p>
    <w:p w14:paraId="2664445D" w14:textId="77777777" w:rsidR="004A0036" w:rsidRDefault="004A0036" w:rsidP="004A0036">
      <w:pPr>
        <w:jc w:val="both"/>
      </w:pPr>
      <w:bookmarkStart w:id="25" w:name="art49"/>
      <w:bookmarkEnd w:id="25"/>
    </w:p>
    <w:p w14:paraId="1B73602E" w14:textId="3944FB2A" w:rsidR="004A0036" w:rsidRPr="004A0036" w:rsidRDefault="004A0036" w:rsidP="004A0036">
      <w:pPr>
        <w:jc w:val="both"/>
      </w:pPr>
      <w:r w:rsidRPr="004A0036">
        <w:t>Art. 49. O locador poderá receber de uma só vez e antecipadamente os aluguéis e encargos, bem como exigir qualquer das modalidades de garantia previstas no art. 37 para atender as demais obrigações do contrato.</w:t>
      </w:r>
    </w:p>
    <w:p w14:paraId="52952C76" w14:textId="77777777" w:rsidR="004A0036" w:rsidRDefault="004A0036" w:rsidP="004A0036">
      <w:pPr>
        <w:jc w:val="both"/>
      </w:pPr>
      <w:bookmarkStart w:id="26" w:name="art50"/>
      <w:bookmarkEnd w:id="26"/>
    </w:p>
    <w:p w14:paraId="343D8E24" w14:textId="6F9F6FE9" w:rsidR="004A0036" w:rsidRPr="004A0036" w:rsidRDefault="004A0036" w:rsidP="004A0036">
      <w:pPr>
        <w:jc w:val="both"/>
      </w:pPr>
      <w:r w:rsidRPr="004A0036">
        <w:t>Art. 50. Findo o prazo ajustado, se o locatário permanecer no imóvel sem oposição do locador por mais de trinta dias, presumir </w:t>
      </w:r>
      <w:r w:rsidRPr="004A0036">
        <w:rPr>
          <w:i/>
          <w:iCs/>
        </w:rPr>
        <w:t>-</w:t>
      </w:r>
      <w:r w:rsidRPr="004A0036">
        <w:t> se </w:t>
      </w:r>
      <w:r w:rsidRPr="004A0036">
        <w:rPr>
          <w:i/>
          <w:iCs/>
        </w:rPr>
        <w:t>-</w:t>
      </w:r>
      <w:r w:rsidRPr="004A0036">
        <w:t> á prorrogada a locação por tempo indeterminado, não mais sendo exigível o pagamento antecipado do aluguel e dos encargos.</w:t>
      </w:r>
    </w:p>
    <w:p w14:paraId="3882D538" w14:textId="77777777" w:rsidR="004A0036" w:rsidRPr="004A0036" w:rsidRDefault="004A0036" w:rsidP="004A0036">
      <w:pPr>
        <w:jc w:val="both"/>
      </w:pPr>
      <w:r w:rsidRPr="004A0036">
        <w:t>Parágrafo único. Ocorrendo a prorrogação, o locador somente poderá denunciar o contrato após trinta meses de seu início ou nas hipóteses do art. 47.</w:t>
      </w:r>
    </w:p>
    <w:p w14:paraId="154E53B0" w14:textId="78ED3491" w:rsidR="00237DE1" w:rsidRDefault="00237DE1">
      <w:pPr>
        <w:rPr>
          <w:b/>
          <w:bCs/>
          <w:u w:val="single"/>
        </w:rPr>
      </w:pPr>
      <w:r>
        <w:rPr>
          <w:b/>
          <w:bCs/>
          <w:u w:val="single"/>
        </w:rPr>
        <w:br w:type="page"/>
      </w:r>
    </w:p>
    <w:p w14:paraId="3F069044" w14:textId="3D2DD625" w:rsidR="00237DE1" w:rsidRDefault="006D4F24" w:rsidP="006D4F24">
      <w:pPr>
        <w:rPr>
          <w:b/>
          <w:bCs/>
          <w:u w:val="single"/>
        </w:rPr>
      </w:pPr>
      <w:r w:rsidRPr="006D4F24">
        <w:rPr>
          <w:b/>
          <w:bCs/>
          <w:u w:val="single"/>
        </w:rPr>
        <w:lastRenderedPageBreak/>
        <w:t xml:space="preserve">TRIBUNAL DE JUSTIÇA </w:t>
      </w:r>
      <w:r>
        <w:rPr>
          <w:b/>
          <w:bCs/>
          <w:u w:val="single"/>
        </w:rPr>
        <w:t xml:space="preserve">RJ - </w:t>
      </w:r>
      <w:r w:rsidRPr="006D4F24">
        <w:rPr>
          <w:b/>
          <w:bCs/>
          <w:u w:val="single"/>
        </w:rPr>
        <w:t>8ª CÂMARA DE DIREITO PÚBLICO</w:t>
      </w:r>
    </w:p>
    <w:p w14:paraId="4F50E0EC" w14:textId="77777777" w:rsidR="006D4F24" w:rsidRDefault="006D4F24" w:rsidP="006D4F24">
      <w:pPr>
        <w:rPr>
          <w:b/>
          <w:bCs/>
          <w:u w:val="single"/>
        </w:rPr>
      </w:pPr>
      <w:r w:rsidRPr="006D4F24">
        <w:rPr>
          <w:b/>
          <w:bCs/>
          <w:u w:val="single"/>
        </w:rPr>
        <w:t>APELAÇÃO CÍVEL Nº 0009610-89.2022.8.19.0042</w:t>
      </w:r>
    </w:p>
    <w:p w14:paraId="31B5669C" w14:textId="77777777" w:rsidR="006D4F24" w:rsidRDefault="006D4F24" w:rsidP="006D4F24">
      <w:pPr>
        <w:rPr>
          <w:b/>
          <w:bCs/>
          <w:u w:val="single"/>
        </w:rPr>
      </w:pPr>
      <w:r w:rsidRPr="006D4F24">
        <w:rPr>
          <w:b/>
          <w:bCs/>
          <w:u w:val="single"/>
        </w:rPr>
        <w:t>4ª VARA CÍVEL DA COMARCA DE PETRÓPOLIS</w:t>
      </w:r>
    </w:p>
    <w:p w14:paraId="2A698EAE" w14:textId="77777777" w:rsidR="006D4F24" w:rsidRDefault="006D4F24" w:rsidP="006D4F24">
      <w:pPr>
        <w:rPr>
          <w:b/>
          <w:bCs/>
          <w:u w:val="single"/>
        </w:rPr>
      </w:pPr>
      <w:r w:rsidRPr="006D4F24">
        <w:rPr>
          <w:b/>
          <w:bCs/>
          <w:u w:val="single"/>
        </w:rPr>
        <w:t>APELANTE: MUNICÍPIO DE PETRÓPOLIS</w:t>
      </w:r>
    </w:p>
    <w:p w14:paraId="202581CC" w14:textId="77777777" w:rsidR="006D4F24" w:rsidRDefault="006D4F24" w:rsidP="006D4F24">
      <w:pPr>
        <w:rPr>
          <w:b/>
          <w:bCs/>
          <w:u w:val="single"/>
        </w:rPr>
      </w:pPr>
      <w:r w:rsidRPr="006D4F24">
        <w:rPr>
          <w:b/>
          <w:bCs/>
          <w:u w:val="single"/>
        </w:rPr>
        <w:t>APELADO: AIRBNB PLATAFORMA DIGITAL LTDA</w:t>
      </w:r>
    </w:p>
    <w:p w14:paraId="170CF506" w14:textId="6720A119" w:rsidR="006D4F24" w:rsidRDefault="006D4F24" w:rsidP="006D4F24">
      <w:pPr>
        <w:rPr>
          <w:b/>
          <w:bCs/>
          <w:u w:val="single"/>
        </w:rPr>
      </w:pPr>
      <w:r w:rsidRPr="006D4F24">
        <w:rPr>
          <w:b/>
          <w:bCs/>
          <w:u w:val="single"/>
        </w:rPr>
        <w:t>RELATORA: DES. MARGARET DE OLIVAES VALLE DOS SANTOS</w:t>
      </w:r>
    </w:p>
    <w:p w14:paraId="179B9561" w14:textId="77777777" w:rsidR="006D4F24" w:rsidRDefault="006D4F24" w:rsidP="006D4F24">
      <w:pPr>
        <w:rPr>
          <w:b/>
          <w:bCs/>
          <w:u w:val="single"/>
        </w:rPr>
      </w:pPr>
    </w:p>
    <w:p w14:paraId="13348397" w14:textId="52F2B69A" w:rsidR="006D4F24" w:rsidRDefault="006D4F24" w:rsidP="006D4F24">
      <w:pPr>
        <w:rPr>
          <w:b/>
          <w:bCs/>
          <w:u w:val="single"/>
        </w:rPr>
      </w:pPr>
      <w:r>
        <w:rPr>
          <w:b/>
          <w:bCs/>
          <w:u w:val="single"/>
        </w:rPr>
        <w:t>EMENTA</w:t>
      </w:r>
    </w:p>
    <w:p w14:paraId="685D63CB" w14:textId="4B3ECA07" w:rsidR="006D4F24" w:rsidRPr="006D4F24" w:rsidRDefault="006D4F24" w:rsidP="006D4F24">
      <w:pPr>
        <w:jc w:val="both"/>
      </w:pPr>
      <w:r w:rsidRPr="006D4F24">
        <w:t>APELAÇÃO CÍVEL. Direito Tributário. ISS. Município de Petrópolis. Plataforma AIRBNB. Ação declaratória. Relação jurídica-tributária acessória. Substituição Tributária. Lei complementar 3.970. Artigo 182, incisos 9.1 e 9.2 e § 15 do Código Tributário Municipal. Lei complementar 3.970. Pretensão de taxar percentual de ISS sobre o valor da hospedagem em imóveis localizados no Município de Petrópolis. Empresa ré que funciona como banco de dados voltado ao arredamento de imóveis mobiliados, com infraestrutura necessária - aparelhos eletroeletrônicos, roupa de cama e banho e utensílios domésticos, a ensejar hospedagem imediata de pessoas indeterminadas, por períodos, livremente, pactados entre as partes, com serviços de limpeza e conservação dos imóveis antes da ocupação e da desocupação destes imóveis, que algumas vezes são mantidos durante o prazo da estadia, mediante pagamento adicional. Objeto social da empresa que se mostra híbrido e complexo - prestação de serviços tecnológicos consistente no desenvolvimento e licenciamento de software – plataforma localizada em sítio de internet, de livre acesso, se pagamento de taxa de utilização, que fica condicionada ao pagamento de percentual sobre o lucro de cada negócio realizado pelo utente, a atestar a existência de evidente serviço de intermediação. Esses negócios não se subsomem a típica locação prevista no Código Civil e sim serviço de hospedagem, previsto no artigo 182, incisos 9.1 e 9.2 do Código Tributário Municipal. Despiciendo que a empresa ré, sediada na cidade de São Paulo, recolha ISS sobre os serviços tecnológicos que presta naquela cidade, consistente no desenvolvimento e licenciamento de software, já que este serviço tem natureza subsidiária, que só se concretiza com o efetivo contrato arredamento do imóvel para hospedagem, com pagamento à empresa de percentual sobre o valor do negócio, que corresponde, em verdade, ao serviço de intermediação e de não de utilização da plataforma. Incidência do artigo 182, §15 do CTM RECURSO DO AUTOR AO QUAL SE DÁ PROVIMENTO.</w:t>
      </w:r>
    </w:p>
    <w:p w14:paraId="352419D0" w14:textId="5BC20C7B" w:rsidR="006D4F24" w:rsidRDefault="006D4F24">
      <w:pPr>
        <w:rPr>
          <w:b/>
          <w:bCs/>
          <w:u w:val="single"/>
        </w:rPr>
      </w:pPr>
    </w:p>
    <w:sectPr w:rsidR="006D4F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76C6D"/>
    <w:multiLevelType w:val="hybridMultilevel"/>
    <w:tmpl w:val="CF407642"/>
    <w:lvl w:ilvl="0" w:tplc="3BDA92CC">
      <w:start w:val="1"/>
      <w:numFmt w:val="bullet"/>
      <w:lvlText w:val="•"/>
      <w:lvlJc w:val="left"/>
      <w:pPr>
        <w:tabs>
          <w:tab w:val="num" w:pos="720"/>
        </w:tabs>
        <w:ind w:left="720" w:hanging="360"/>
      </w:pPr>
      <w:rPr>
        <w:rFonts w:ascii="Arial" w:hAnsi="Arial" w:hint="default"/>
      </w:rPr>
    </w:lvl>
    <w:lvl w:ilvl="1" w:tplc="30C20A30" w:tentative="1">
      <w:start w:val="1"/>
      <w:numFmt w:val="bullet"/>
      <w:lvlText w:val="•"/>
      <w:lvlJc w:val="left"/>
      <w:pPr>
        <w:tabs>
          <w:tab w:val="num" w:pos="1440"/>
        </w:tabs>
        <w:ind w:left="1440" w:hanging="360"/>
      </w:pPr>
      <w:rPr>
        <w:rFonts w:ascii="Arial" w:hAnsi="Arial" w:hint="default"/>
      </w:rPr>
    </w:lvl>
    <w:lvl w:ilvl="2" w:tplc="3BEAEE4C" w:tentative="1">
      <w:start w:val="1"/>
      <w:numFmt w:val="bullet"/>
      <w:lvlText w:val="•"/>
      <w:lvlJc w:val="left"/>
      <w:pPr>
        <w:tabs>
          <w:tab w:val="num" w:pos="2160"/>
        </w:tabs>
        <w:ind w:left="2160" w:hanging="360"/>
      </w:pPr>
      <w:rPr>
        <w:rFonts w:ascii="Arial" w:hAnsi="Arial" w:hint="default"/>
      </w:rPr>
    </w:lvl>
    <w:lvl w:ilvl="3" w:tplc="966C2E10" w:tentative="1">
      <w:start w:val="1"/>
      <w:numFmt w:val="bullet"/>
      <w:lvlText w:val="•"/>
      <w:lvlJc w:val="left"/>
      <w:pPr>
        <w:tabs>
          <w:tab w:val="num" w:pos="2880"/>
        </w:tabs>
        <w:ind w:left="2880" w:hanging="360"/>
      </w:pPr>
      <w:rPr>
        <w:rFonts w:ascii="Arial" w:hAnsi="Arial" w:hint="default"/>
      </w:rPr>
    </w:lvl>
    <w:lvl w:ilvl="4" w:tplc="9C4A5C4A" w:tentative="1">
      <w:start w:val="1"/>
      <w:numFmt w:val="bullet"/>
      <w:lvlText w:val="•"/>
      <w:lvlJc w:val="left"/>
      <w:pPr>
        <w:tabs>
          <w:tab w:val="num" w:pos="3600"/>
        </w:tabs>
        <w:ind w:left="3600" w:hanging="360"/>
      </w:pPr>
      <w:rPr>
        <w:rFonts w:ascii="Arial" w:hAnsi="Arial" w:hint="default"/>
      </w:rPr>
    </w:lvl>
    <w:lvl w:ilvl="5" w:tplc="07E2E8F6" w:tentative="1">
      <w:start w:val="1"/>
      <w:numFmt w:val="bullet"/>
      <w:lvlText w:val="•"/>
      <w:lvlJc w:val="left"/>
      <w:pPr>
        <w:tabs>
          <w:tab w:val="num" w:pos="4320"/>
        </w:tabs>
        <w:ind w:left="4320" w:hanging="360"/>
      </w:pPr>
      <w:rPr>
        <w:rFonts w:ascii="Arial" w:hAnsi="Arial" w:hint="default"/>
      </w:rPr>
    </w:lvl>
    <w:lvl w:ilvl="6" w:tplc="A8540F14" w:tentative="1">
      <w:start w:val="1"/>
      <w:numFmt w:val="bullet"/>
      <w:lvlText w:val="•"/>
      <w:lvlJc w:val="left"/>
      <w:pPr>
        <w:tabs>
          <w:tab w:val="num" w:pos="5040"/>
        </w:tabs>
        <w:ind w:left="5040" w:hanging="360"/>
      </w:pPr>
      <w:rPr>
        <w:rFonts w:ascii="Arial" w:hAnsi="Arial" w:hint="default"/>
      </w:rPr>
    </w:lvl>
    <w:lvl w:ilvl="7" w:tplc="D4F68984" w:tentative="1">
      <w:start w:val="1"/>
      <w:numFmt w:val="bullet"/>
      <w:lvlText w:val="•"/>
      <w:lvlJc w:val="left"/>
      <w:pPr>
        <w:tabs>
          <w:tab w:val="num" w:pos="5760"/>
        </w:tabs>
        <w:ind w:left="5760" w:hanging="360"/>
      </w:pPr>
      <w:rPr>
        <w:rFonts w:ascii="Arial" w:hAnsi="Arial" w:hint="default"/>
      </w:rPr>
    </w:lvl>
    <w:lvl w:ilvl="8" w:tplc="1E6C832C" w:tentative="1">
      <w:start w:val="1"/>
      <w:numFmt w:val="bullet"/>
      <w:lvlText w:val="•"/>
      <w:lvlJc w:val="left"/>
      <w:pPr>
        <w:tabs>
          <w:tab w:val="num" w:pos="6480"/>
        </w:tabs>
        <w:ind w:left="6480" w:hanging="360"/>
      </w:pPr>
      <w:rPr>
        <w:rFonts w:ascii="Arial" w:hAnsi="Arial" w:hint="default"/>
      </w:rPr>
    </w:lvl>
  </w:abstractNum>
  <w:num w:numId="1" w16cid:durableId="2136410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467"/>
    <w:rsid w:val="00015F06"/>
    <w:rsid w:val="0004644B"/>
    <w:rsid w:val="000A10CE"/>
    <w:rsid w:val="001803FA"/>
    <w:rsid w:val="00196611"/>
    <w:rsid w:val="001F14C5"/>
    <w:rsid w:val="001F3C90"/>
    <w:rsid w:val="00222D59"/>
    <w:rsid w:val="00237DE1"/>
    <w:rsid w:val="00304893"/>
    <w:rsid w:val="00330BB4"/>
    <w:rsid w:val="003525FB"/>
    <w:rsid w:val="00395700"/>
    <w:rsid w:val="003C6E87"/>
    <w:rsid w:val="003F1D02"/>
    <w:rsid w:val="00414441"/>
    <w:rsid w:val="004864C2"/>
    <w:rsid w:val="004A0036"/>
    <w:rsid w:val="004C6BAF"/>
    <w:rsid w:val="0050156C"/>
    <w:rsid w:val="005A216B"/>
    <w:rsid w:val="00622467"/>
    <w:rsid w:val="00622E21"/>
    <w:rsid w:val="006D4F24"/>
    <w:rsid w:val="007C27DC"/>
    <w:rsid w:val="00883745"/>
    <w:rsid w:val="00A34968"/>
    <w:rsid w:val="00A4749C"/>
    <w:rsid w:val="00AA78F0"/>
    <w:rsid w:val="00AC74FB"/>
    <w:rsid w:val="00B039FC"/>
    <w:rsid w:val="00B11E34"/>
    <w:rsid w:val="00B613E7"/>
    <w:rsid w:val="00CE6B43"/>
    <w:rsid w:val="00CF0B5B"/>
    <w:rsid w:val="00D65770"/>
    <w:rsid w:val="00D7144D"/>
    <w:rsid w:val="00D955FC"/>
    <w:rsid w:val="00DE4FDC"/>
    <w:rsid w:val="00E50298"/>
    <w:rsid w:val="00ED7F4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55FF9"/>
  <w15:chartTrackingRefBased/>
  <w15:docId w15:val="{B677CBF4-D772-4F30-94C0-F1FA901F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22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22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224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224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224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224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224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224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2246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2246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2246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2246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2246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2246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2246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2246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2246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22467"/>
    <w:rPr>
      <w:rFonts w:eastAsiaTheme="majorEastAsia" w:cstheme="majorBidi"/>
      <w:color w:val="272727" w:themeColor="text1" w:themeTint="D8"/>
    </w:rPr>
  </w:style>
  <w:style w:type="paragraph" w:styleId="Ttulo">
    <w:name w:val="Title"/>
    <w:basedOn w:val="Normal"/>
    <w:next w:val="Normal"/>
    <w:link w:val="TtuloChar"/>
    <w:uiPriority w:val="10"/>
    <w:qFormat/>
    <w:rsid w:val="00622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224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2246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2246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22467"/>
    <w:pPr>
      <w:spacing w:before="160"/>
      <w:jc w:val="center"/>
    </w:pPr>
    <w:rPr>
      <w:i/>
      <w:iCs/>
      <w:color w:val="404040" w:themeColor="text1" w:themeTint="BF"/>
    </w:rPr>
  </w:style>
  <w:style w:type="character" w:customStyle="1" w:styleId="CitaoChar">
    <w:name w:val="Citação Char"/>
    <w:basedOn w:val="Fontepargpadro"/>
    <w:link w:val="Citao"/>
    <w:uiPriority w:val="29"/>
    <w:rsid w:val="00622467"/>
    <w:rPr>
      <w:i/>
      <w:iCs/>
      <w:color w:val="404040" w:themeColor="text1" w:themeTint="BF"/>
    </w:rPr>
  </w:style>
  <w:style w:type="paragraph" w:styleId="PargrafodaLista">
    <w:name w:val="List Paragraph"/>
    <w:basedOn w:val="Normal"/>
    <w:uiPriority w:val="34"/>
    <w:qFormat/>
    <w:rsid w:val="00622467"/>
    <w:pPr>
      <w:ind w:left="720"/>
      <w:contextualSpacing/>
    </w:pPr>
  </w:style>
  <w:style w:type="character" w:styleId="nfaseIntensa">
    <w:name w:val="Intense Emphasis"/>
    <w:basedOn w:val="Fontepargpadro"/>
    <w:uiPriority w:val="21"/>
    <w:qFormat/>
    <w:rsid w:val="00622467"/>
    <w:rPr>
      <w:i/>
      <w:iCs/>
      <w:color w:val="0F4761" w:themeColor="accent1" w:themeShade="BF"/>
    </w:rPr>
  </w:style>
  <w:style w:type="paragraph" w:styleId="CitaoIntensa">
    <w:name w:val="Intense Quote"/>
    <w:basedOn w:val="Normal"/>
    <w:next w:val="Normal"/>
    <w:link w:val="CitaoIntensaChar"/>
    <w:uiPriority w:val="30"/>
    <w:qFormat/>
    <w:rsid w:val="00622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22467"/>
    <w:rPr>
      <w:i/>
      <w:iCs/>
      <w:color w:val="0F4761" w:themeColor="accent1" w:themeShade="BF"/>
    </w:rPr>
  </w:style>
  <w:style w:type="character" w:styleId="RefernciaIntensa">
    <w:name w:val="Intense Reference"/>
    <w:basedOn w:val="Fontepargpadro"/>
    <w:uiPriority w:val="32"/>
    <w:qFormat/>
    <w:rsid w:val="00622467"/>
    <w:rPr>
      <w:b/>
      <w:bCs/>
      <w:smallCaps/>
      <w:color w:val="0F4761" w:themeColor="accent1" w:themeShade="BF"/>
      <w:spacing w:val="5"/>
    </w:rPr>
  </w:style>
  <w:style w:type="paragraph" w:styleId="NormalWeb">
    <w:name w:val="Normal (Web)"/>
    <w:basedOn w:val="Normal"/>
    <w:uiPriority w:val="99"/>
    <w:semiHidden/>
    <w:unhideWhenUsed/>
    <w:rsid w:val="00304893"/>
    <w:rPr>
      <w:rFonts w:ascii="Times New Roman" w:hAnsi="Times New Roman" w:cs="Times New Roman"/>
      <w:sz w:val="24"/>
      <w:szCs w:val="24"/>
    </w:rPr>
  </w:style>
  <w:style w:type="character" w:styleId="Hyperlink">
    <w:name w:val="Hyperlink"/>
    <w:basedOn w:val="Fontepargpadro"/>
    <w:uiPriority w:val="99"/>
    <w:unhideWhenUsed/>
    <w:rsid w:val="00304893"/>
    <w:rPr>
      <w:color w:val="467886" w:themeColor="hyperlink"/>
      <w:u w:val="single"/>
    </w:rPr>
  </w:style>
  <w:style w:type="character" w:styleId="MenoPendente">
    <w:name w:val="Unresolved Mention"/>
    <w:basedOn w:val="Fontepargpadro"/>
    <w:uiPriority w:val="99"/>
    <w:semiHidden/>
    <w:unhideWhenUsed/>
    <w:rsid w:val="003048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939621">
      <w:bodyDiv w:val="1"/>
      <w:marLeft w:val="0"/>
      <w:marRight w:val="0"/>
      <w:marTop w:val="0"/>
      <w:marBottom w:val="0"/>
      <w:divBdr>
        <w:top w:val="none" w:sz="0" w:space="0" w:color="auto"/>
        <w:left w:val="none" w:sz="0" w:space="0" w:color="auto"/>
        <w:bottom w:val="none" w:sz="0" w:space="0" w:color="auto"/>
        <w:right w:val="none" w:sz="0" w:space="0" w:color="auto"/>
      </w:divBdr>
    </w:div>
    <w:div w:id="520823721">
      <w:bodyDiv w:val="1"/>
      <w:marLeft w:val="0"/>
      <w:marRight w:val="0"/>
      <w:marTop w:val="0"/>
      <w:marBottom w:val="0"/>
      <w:divBdr>
        <w:top w:val="none" w:sz="0" w:space="0" w:color="auto"/>
        <w:left w:val="none" w:sz="0" w:space="0" w:color="auto"/>
        <w:bottom w:val="none" w:sz="0" w:space="0" w:color="auto"/>
        <w:right w:val="none" w:sz="0" w:space="0" w:color="auto"/>
      </w:divBdr>
    </w:div>
    <w:div w:id="576867337">
      <w:bodyDiv w:val="1"/>
      <w:marLeft w:val="0"/>
      <w:marRight w:val="0"/>
      <w:marTop w:val="0"/>
      <w:marBottom w:val="0"/>
      <w:divBdr>
        <w:top w:val="none" w:sz="0" w:space="0" w:color="auto"/>
        <w:left w:val="none" w:sz="0" w:space="0" w:color="auto"/>
        <w:bottom w:val="none" w:sz="0" w:space="0" w:color="auto"/>
        <w:right w:val="none" w:sz="0" w:space="0" w:color="auto"/>
      </w:divBdr>
    </w:div>
    <w:div w:id="635450363">
      <w:bodyDiv w:val="1"/>
      <w:marLeft w:val="0"/>
      <w:marRight w:val="0"/>
      <w:marTop w:val="0"/>
      <w:marBottom w:val="0"/>
      <w:divBdr>
        <w:top w:val="none" w:sz="0" w:space="0" w:color="auto"/>
        <w:left w:val="none" w:sz="0" w:space="0" w:color="auto"/>
        <w:bottom w:val="none" w:sz="0" w:space="0" w:color="auto"/>
        <w:right w:val="none" w:sz="0" w:space="0" w:color="auto"/>
      </w:divBdr>
    </w:div>
    <w:div w:id="656493648">
      <w:bodyDiv w:val="1"/>
      <w:marLeft w:val="0"/>
      <w:marRight w:val="0"/>
      <w:marTop w:val="0"/>
      <w:marBottom w:val="0"/>
      <w:divBdr>
        <w:top w:val="none" w:sz="0" w:space="0" w:color="auto"/>
        <w:left w:val="none" w:sz="0" w:space="0" w:color="auto"/>
        <w:bottom w:val="none" w:sz="0" w:space="0" w:color="auto"/>
        <w:right w:val="none" w:sz="0" w:space="0" w:color="auto"/>
      </w:divBdr>
    </w:div>
    <w:div w:id="785269782">
      <w:bodyDiv w:val="1"/>
      <w:marLeft w:val="0"/>
      <w:marRight w:val="0"/>
      <w:marTop w:val="0"/>
      <w:marBottom w:val="0"/>
      <w:divBdr>
        <w:top w:val="none" w:sz="0" w:space="0" w:color="auto"/>
        <w:left w:val="none" w:sz="0" w:space="0" w:color="auto"/>
        <w:bottom w:val="none" w:sz="0" w:space="0" w:color="auto"/>
        <w:right w:val="none" w:sz="0" w:space="0" w:color="auto"/>
      </w:divBdr>
    </w:div>
    <w:div w:id="824858624">
      <w:bodyDiv w:val="1"/>
      <w:marLeft w:val="0"/>
      <w:marRight w:val="0"/>
      <w:marTop w:val="0"/>
      <w:marBottom w:val="0"/>
      <w:divBdr>
        <w:top w:val="none" w:sz="0" w:space="0" w:color="auto"/>
        <w:left w:val="none" w:sz="0" w:space="0" w:color="auto"/>
        <w:bottom w:val="none" w:sz="0" w:space="0" w:color="auto"/>
        <w:right w:val="none" w:sz="0" w:space="0" w:color="auto"/>
      </w:divBdr>
    </w:div>
    <w:div w:id="829760597">
      <w:bodyDiv w:val="1"/>
      <w:marLeft w:val="0"/>
      <w:marRight w:val="0"/>
      <w:marTop w:val="0"/>
      <w:marBottom w:val="0"/>
      <w:divBdr>
        <w:top w:val="none" w:sz="0" w:space="0" w:color="auto"/>
        <w:left w:val="none" w:sz="0" w:space="0" w:color="auto"/>
        <w:bottom w:val="none" w:sz="0" w:space="0" w:color="auto"/>
        <w:right w:val="none" w:sz="0" w:space="0" w:color="auto"/>
      </w:divBdr>
    </w:div>
    <w:div w:id="862748522">
      <w:bodyDiv w:val="1"/>
      <w:marLeft w:val="0"/>
      <w:marRight w:val="0"/>
      <w:marTop w:val="0"/>
      <w:marBottom w:val="0"/>
      <w:divBdr>
        <w:top w:val="none" w:sz="0" w:space="0" w:color="auto"/>
        <w:left w:val="none" w:sz="0" w:space="0" w:color="auto"/>
        <w:bottom w:val="none" w:sz="0" w:space="0" w:color="auto"/>
        <w:right w:val="none" w:sz="0" w:space="0" w:color="auto"/>
      </w:divBdr>
    </w:div>
    <w:div w:id="883910990">
      <w:bodyDiv w:val="1"/>
      <w:marLeft w:val="0"/>
      <w:marRight w:val="0"/>
      <w:marTop w:val="0"/>
      <w:marBottom w:val="0"/>
      <w:divBdr>
        <w:top w:val="none" w:sz="0" w:space="0" w:color="auto"/>
        <w:left w:val="none" w:sz="0" w:space="0" w:color="auto"/>
        <w:bottom w:val="none" w:sz="0" w:space="0" w:color="auto"/>
        <w:right w:val="none" w:sz="0" w:space="0" w:color="auto"/>
      </w:divBdr>
    </w:div>
    <w:div w:id="961423182">
      <w:bodyDiv w:val="1"/>
      <w:marLeft w:val="0"/>
      <w:marRight w:val="0"/>
      <w:marTop w:val="0"/>
      <w:marBottom w:val="0"/>
      <w:divBdr>
        <w:top w:val="none" w:sz="0" w:space="0" w:color="auto"/>
        <w:left w:val="none" w:sz="0" w:space="0" w:color="auto"/>
        <w:bottom w:val="none" w:sz="0" w:space="0" w:color="auto"/>
        <w:right w:val="none" w:sz="0" w:space="0" w:color="auto"/>
      </w:divBdr>
    </w:div>
    <w:div w:id="1008751276">
      <w:bodyDiv w:val="1"/>
      <w:marLeft w:val="0"/>
      <w:marRight w:val="0"/>
      <w:marTop w:val="0"/>
      <w:marBottom w:val="0"/>
      <w:divBdr>
        <w:top w:val="none" w:sz="0" w:space="0" w:color="auto"/>
        <w:left w:val="none" w:sz="0" w:space="0" w:color="auto"/>
        <w:bottom w:val="none" w:sz="0" w:space="0" w:color="auto"/>
        <w:right w:val="none" w:sz="0" w:space="0" w:color="auto"/>
      </w:divBdr>
    </w:div>
    <w:div w:id="1074887716">
      <w:bodyDiv w:val="1"/>
      <w:marLeft w:val="0"/>
      <w:marRight w:val="0"/>
      <w:marTop w:val="0"/>
      <w:marBottom w:val="0"/>
      <w:divBdr>
        <w:top w:val="none" w:sz="0" w:space="0" w:color="auto"/>
        <w:left w:val="none" w:sz="0" w:space="0" w:color="auto"/>
        <w:bottom w:val="none" w:sz="0" w:space="0" w:color="auto"/>
        <w:right w:val="none" w:sz="0" w:space="0" w:color="auto"/>
      </w:divBdr>
    </w:div>
    <w:div w:id="1229150556">
      <w:bodyDiv w:val="1"/>
      <w:marLeft w:val="0"/>
      <w:marRight w:val="0"/>
      <w:marTop w:val="0"/>
      <w:marBottom w:val="0"/>
      <w:divBdr>
        <w:top w:val="none" w:sz="0" w:space="0" w:color="auto"/>
        <w:left w:val="none" w:sz="0" w:space="0" w:color="auto"/>
        <w:bottom w:val="none" w:sz="0" w:space="0" w:color="auto"/>
        <w:right w:val="none" w:sz="0" w:space="0" w:color="auto"/>
      </w:divBdr>
    </w:div>
    <w:div w:id="1416823645">
      <w:bodyDiv w:val="1"/>
      <w:marLeft w:val="0"/>
      <w:marRight w:val="0"/>
      <w:marTop w:val="0"/>
      <w:marBottom w:val="0"/>
      <w:divBdr>
        <w:top w:val="none" w:sz="0" w:space="0" w:color="auto"/>
        <w:left w:val="none" w:sz="0" w:space="0" w:color="auto"/>
        <w:bottom w:val="none" w:sz="0" w:space="0" w:color="auto"/>
        <w:right w:val="none" w:sz="0" w:space="0" w:color="auto"/>
      </w:divBdr>
    </w:div>
    <w:div w:id="1426807009">
      <w:bodyDiv w:val="1"/>
      <w:marLeft w:val="0"/>
      <w:marRight w:val="0"/>
      <w:marTop w:val="0"/>
      <w:marBottom w:val="0"/>
      <w:divBdr>
        <w:top w:val="none" w:sz="0" w:space="0" w:color="auto"/>
        <w:left w:val="none" w:sz="0" w:space="0" w:color="auto"/>
        <w:bottom w:val="none" w:sz="0" w:space="0" w:color="auto"/>
        <w:right w:val="none" w:sz="0" w:space="0" w:color="auto"/>
      </w:divBdr>
    </w:div>
    <w:div w:id="1736127142">
      <w:bodyDiv w:val="1"/>
      <w:marLeft w:val="0"/>
      <w:marRight w:val="0"/>
      <w:marTop w:val="0"/>
      <w:marBottom w:val="0"/>
      <w:divBdr>
        <w:top w:val="none" w:sz="0" w:space="0" w:color="auto"/>
        <w:left w:val="none" w:sz="0" w:space="0" w:color="auto"/>
        <w:bottom w:val="none" w:sz="0" w:space="0" w:color="auto"/>
        <w:right w:val="none" w:sz="0" w:space="0" w:color="auto"/>
      </w:divBdr>
    </w:div>
    <w:div w:id="1770155109">
      <w:bodyDiv w:val="1"/>
      <w:marLeft w:val="0"/>
      <w:marRight w:val="0"/>
      <w:marTop w:val="0"/>
      <w:marBottom w:val="0"/>
      <w:divBdr>
        <w:top w:val="none" w:sz="0" w:space="0" w:color="auto"/>
        <w:left w:val="none" w:sz="0" w:space="0" w:color="auto"/>
        <w:bottom w:val="none" w:sz="0" w:space="0" w:color="auto"/>
        <w:right w:val="none" w:sz="0" w:space="0" w:color="auto"/>
      </w:divBdr>
    </w:div>
    <w:div w:id="1815563870">
      <w:bodyDiv w:val="1"/>
      <w:marLeft w:val="0"/>
      <w:marRight w:val="0"/>
      <w:marTop w:val="0"/>
      <w:marBottom w:val="0"/>
      <w:divBdr>
        <w:top w:val="none" w:sz="0" w:space="0" w:color="auto"/>
        <w:left w:val="none" w:sz="0" w:space="0" w:color="auto"/>
        <w:bottom w:val="none" w:sz="0" w:space="0" w:color="auto"/>
        <w:right w:val="none" w:sz="0" w:space="0" w:color="auto"/>
      </w:divBdr>
    </w:div>
    <w:div w:id="193844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edir.stf.jus.br/paginadorpub/paginador.jsp?docTP=AC&amp;docID=38679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planalto.gov.br/ccivil_03/decreto-lei/Del0406.htm" TargetMode="External"/><Relationship Id="rId12" Type="http://schemas.openxmlformats.org/officeDocument/2006/relationships/hyperlink" Target="http://redir.stf.jus.br/paginadorpub/paginador.jsp?docTP=AC&amp;docID=206139"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www.planalto.gov.br/ccivil_03/Leis/L5172.htm" TargetMode="External"/><Relationship Id="rId11" Type="http://schemas.openxmlformats.org/officeDocument/2006/relationships/hyperlink" Target="http://www.planalto.gov.br/ccivil_03/Leis/L5172.htm" TargetMode="External"/><Relationship Id="rId5" Type="http://schemas.openxmlformats.org/officeDocument/2006/relationships/hyperlink" Target="https://leismunicipais.com.br/a/rj/r/rio-de-janeiro/lei-ordinaria/1984/69/691/lei-ordinaria-n-691-1984-aprova-o-codigo-tributario-do-municipio-do-rio-de-janeiro-e-da-outras-providencias" TargetMode="External"/><Relationship Id="rId15" Type="http://schemas.openxmlformats.org/officeDocument/2006/relationships/customXml" Target="../customXml/item1.xml"/><Relationship Id="rId10" Type="http://schemas.openxmlformats.org/officeDocument/2006/relationships/hyperlink" Target="http://www.planalto.gov.br/ccivil_03/Leis/L3071.htm" TargetMode="External"/><Relationship Id="rId4" Type="http://schemas.openxmlformats.org/officeDocument/2006/relationships/webSettings" Target="webSettings.xml"/><Relationship Id="rId9" Type="http://schemas.openxmlformats.org/officeDocument/2006/relationships/hyperlink" Target="https://www.planalto.gov.br/ccivil_03/constituicao/constituicao.htm"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33CAA8C2AACB845931CE7B73F0A5CA1" ma:contentTypeVersion="12" ma:contentTypeDescription="Crie um novo documento." ma:contentTypeScope="" ma:versionID="49cd6034149b22d683bafb6435c77003">
  <xsd:schema xmlns:xsd="http://www.w3.org/2001/XMLSchema" xmlns:xs="http://www.w3.org/2001/XMLSchema" xmlns:p="http://schemas.microsoft.com/office/2006/metadata/properties" xmlns:ns2="e34f0857-9853-46c5-a128-34399a42c85b" xmlns:ns3="74af42dd-7905-414e-a3c6-a1129f3f8257" targetNamespace="http://schemas.microsoft.com/office/2006/metadata/properties" ma:root="true" ma:fieldsID="856d6ef7161950c31238c4c4399828be" ns2:_="" ns3:_="">
    <xsd:import namespace="e34f0857-9853-46c5-a128-34399a42c85b"/>
    <xsd:import namespace="74af42dd-7905-414e-a3c6-a1129f3f825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4f0857-9853-46c5-a128-34399a42c8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f0d481ad-c882-4a20-a0b0-e4a7aab2646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4af42dd-7905-414e-a3c6-a1129f3f825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ad2072c-9736-416a-acb9-184a8911c27c}" ma:internalName="TaxCatchAll" ma:showField="CatchAllData" ma:web="74af42dd-7905-414e-a3c6-a1129f3f82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4f0857-9853-46c5-a128-34399a42c85b">
      <Terms xmlns="http://schemas.microsoft.com/office/infopath/2007/PartnerControls"/>
    </lcf76f155ced4ddcb4097134ff3c332f>
    <TaxCatchAll xmlns="74af42dd-7905-414e-a3c6-a1129f3f8257" xsi:nil="true"/>
  </documentManagement>
</p:properties>
</file>

<file path=customXml/itemProps1.xml><?xml version="1.0" encoding="utf-8"?>
<ds:datastoreItem xmlns:ds="http://schemas.openxmlformats.org/officeDocument/2006/customXml" ds:itemID="{2EC1FFE9-7C25-41F1-82D9-A58A409F75D0}"/>
</file>

<file path=customXml/itemProps2.xml><?xml version="1.0" encoding="utf-8"?>
<ds:datastoreItem xmlns:ds="http://schemas.openxmlformats.org/officeDocument/2006/customXml" ds:itemID="{1A89A718-2DAF-4CEF-9A35-4FCF343559AC}"/>
</file>

<file path=customXml/itemProps3.xml><?xml version="1.0" encoding="utf-8"?>
<ds:datastoreItem xmlns:ds="http://schemas.openxmlformats.org/officeDocument/2006/customXml" ds:itemID="{D74FFF20-2D5A-46D3-A9CF-86D3528EF652}"/>
</file>

<file path=docProps/app.xml><?xml version="1.0" encoding="utf-8"?>
<Properties xmlns="http://schemas.openxmlformats.org/officeDocument/2006/extended-properties" xmlns:vt="http://schemas.openxmlformats.org/officeDocument/2006/docPropsVTypes">
  <Template>Normal</Template>
  <TotalTime>0</TotalTime>
  <Pages>14</Pages>
  <Words>4920</Words>
  <Characters>26572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Gabrielle Sparenberg</dc:creator>
  <cp:keywords/>
  <dc:description/>
  <cp:lastModifiedBy>Paulo Henrique Bergqvist</cp:lastModifiedBy>
  <cp:revision>2</cp:revision>
  <cp:lastPrinted>2025-03-17T17:18:00Z</cp:lastPrinted>
  <dcterms:created xsi:type="dcterms:W3CDTF">2025-03-26T18:39:00Z</dcterms:created>
  <dcterms:modified xsi:type="dcterms:W3CDTF">2025-03-26T18:39:00Z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0x010100033CAA8C2AACB845931CE7B73F0A5CA1</vt:lpwstr>
  </property>
</Properties>
</file>