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6D1D34">
      <w:pPr>
        <w:rPr>
          <w:rFonts w:hint="eastAsia" w:ascii="微软雅黑" w:hAnsi="微软雅黑" w:eastAsia="微软雅黑" w:cs="微软雅黑"/>
          <w:b/>
          <w:bCs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1"/>
          <w:szCs w:val="21"/>
          <w:lang w:val="en-US" w:eastAsia="zh-CN"/>
        </w:rPr>
        <w:t>确定带宽和内存频点之间的关系</w:t>
      </w:r>
    </w:p>
    <w:p w14:paraId="7AB5CEBF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1"/>
          <w:szCs w:val="21"/>
          <w:lang w:val="en-US" w:eastAsia="zh-CN"/>
        </w:rPr>
        <w:drawing>
          <wp:inline distT="0" distB="0" distL="114300" distR="114300">
            <wp:extent cx="5267325" cy="2534920"/>
            <wp:effectExtent l="0" t="0" r="3175" b="5080"/>
            <wp:docPr id="5" name="图片 5" descr="440e7b632d88e539f71e377b2eeb8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40e7b632d88e539f71e377b2eeb889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BC0BA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1"/>
          <w:szCs w:val="21"/>
          <w:lang w:val="en-US" w:eastAsia="zh-CN"/>
        </w:rPr>
        <w:t>https://en.wikipedia.org/wiki/Memory_bandwidth</w:t>
      </w:r>
    </w:p>
    <w:p w14:paraId="41AEC9D0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1"/>
          <w:szCs w:val="21"/>
          <w:lang w:val="en-US" w:eastAsia="zh-CN"/>
        </w:rPr>
        <w:t>理想状态下：</w:t>
      </w:r>
    </w:p>
    <w:p w14:paraId="4AD0759E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drawing>
          <wp:inline distT="0" distB="0" distL="114300" distR="114300">
            <wp:extent cx="5257800" cy="6381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7B38D">
      <w:pPr>
        <w:rPr>
          <w:rFonts w:hint="eastAsia" w:ascii="微软雅黑" w:hAnsi="微软雅黑" w:eastAsia="微软雅黑" w:cs="微软雅黑"/>
          <w:sz w:val="21"/>
          <w:szCs w:val="21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sz w:val="21"/>
          <w:szCs w:val="21"/>
          <w:lang w:val="en-US" w:eastAsia="zh-CN"/>
        </w:rPr>
        <w:t>f</w:t>
      </w:r>
      <w:r>
        <w:rPr>
          <w:rFonts w:hint="eastAsia" w:ascii="微软雅黑" w:hAnsi="微软雅黑" w:eastAsia="微软雅黑" w:cs="微软雅黑"/>
          <w:color w:val="0000FF"/>
          <w:sz w:val="21"/>
          <w:szCs w:val="21"/>
          <w:vertAlign w:val="subscript"/>
          <w:lang w:val="en-US" w:eastAsia="zh-CN"/>
        </w:rPr>
        <w:t>clock</w:t>
      </w:r>
      <w:r>
        <w:rPr>
          <w:rFonts w:hint="eastAsia" w:ascii="微软雅黑" w:hAnsi="微软雅黑" w:eastAsia="微软雅黑" w:cs="微软雅黑"/>
          <w:color w:val="0000FF"/>
          <w:sz w:val="21"/>
          <w:szCs w:val="21"/>
          <w:vertAlign w:val="baseline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z w:val="21"/>
          <w:szCs w:val="21"/>
          <w:vertAlign w:val="baseline"/>
          <w:lang w:val="en-US" w:eastAsia="zh-CN"/>
        </w:rPr>
        <w:t>频点，指内存接口或其I/O时钟每秒钟震荡的次数；</w:t>
      </w:r>
    </w:p>
    <w:p w14:paraId="0028CE1E">
      <w:pPr>
        <w:rPr>
          <w:rFonts w:hint="eastAsia" w:ascii="微软雅黑" w:hAnsi="微软雅黑" w:eastAsia="微软雅黑" w:cs="微软雅黑"/>
          <w:sz w:val="21"/>
          <w:szCs w:val="21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sz w:val="21"/>
          <w:szCs w:val="21"/>
          <w:vertAlign w:val="baseline"/>
          <w:lang w:val="en-US" w:eastAsia="zh-CN"/>
        </w:rPr>
        <w:t>transfers per clock：</w:t>
      </w:r>
      <w:r>
        <w:rPr>
          <w:rFonts w:hint="eastAsia" w:ascii="微软雅黑" w:hAnsi="微软雅黑" w:eastAsia="微软雅黑" w:cs="微软雅黑"/>
          <w:sz w:val="21"/>
          <w:szCs w:val="21"/>
          <w:vertAlign w:val="baseline"/>
          <w:lang w:val="en-US" w:eastAsia="zh-CN"/>
        </w:rPr>
        <w:t>每个时钟周期的数据传输次数，例如：</w:t>
      </w:r>
    </w:p>
    <w:tbl>
      <w:tblPr>
        <w:tblStyle w:val="3"/>
        <w:tblW w:w="93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2022"/>
        <w:gridCol w:w="5131"/>
      </w:tblGrid>
      <w:tr w14:paraId="6A9C6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7" w:type="dxa"/>
          </w:tcPr>
          <w:p w14:paraId="5F5EEB33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vertAlign w:val="baseline"/>
                <w:lang w:val="en-US" w:eastAsia="zh-CN"/>
              </w:rPr>
              <w:t>内存类型</w:t>
            </w:r>
          </w:p>
        </w:tc>
        <w:tc>
          <w:tcPr>
            <w:tcW w:w="2822" w:type="dxa"/>
          </w:tcPr>
          <w:p w14:paraId="5DB7AFB6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vertAlign w:val="baseline"/>
                <w:lang w:val="en-US" w:eastAsia="zh-CN"/>
              </w:rPr>
              <w:t>数据传输次数/时钟周期</w:t>
            </w:r>
          </w:p>
        </w:tc>
        <w:tc>
          <w:tcPr>
            <w:tcW w:w="4356" w:type="dxa"/>
          </w:tcPr>
          <w:p w14:paraId="570DB717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vertAlign w:val="baseline"/>
                <w:lang w:val="en-US" w:eastAsia="zh-CN"/>
              </w:rPr>
              <w:t>典型接口</w:t>
            </w:r>
          </w:p>
        </w:tc>
      </w:tr>
      <w:tr w14:paraId="51EAD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7" w:type="dxa"/>
            <w:vAlign w:val="center"/>
          </w:tcPr>
          <w:p w14:paraId="001466CF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SDR</w:t>
            </w:r>
          </w:p>
          <w:p w14:paraId="21DD5D73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(Single Data Rate)</w:t>
            </w:r>
          </w:p>
        </w:tc>
        <w:tc>
          <w:tcPr>
            <w:tcW w:w="2822" w:type="dxa"/>
            <w:vAlign w:val="center"/>
          </w:tcPr>
          <w:p w14:paraId="7E08F722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1 次（上升沿）</w:t>
            </w:r>
          </w:p>
        </w:tc>
        <w:tc>
          <w:tcPr>
            <w:tcW w:w="4356" w:type="dxa"/>
            <w:vAlign w:val="center"/>
          </w:tcPr>
          <w:p w14:paraId="698E9C60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SDR SDRAM、早期系统总线</w:t>
            </w:r>
          </w:p>
        </w:tc>
      </w:tr>
      <w:tr w14:paraId="34FE1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177" w:type="dxa"/>
            <w:vAlign w:val="center"/>
          </w:tcPr>
          <w:p w14:paraId="066FE2CB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DDR</w:t>
            </w:r>
          </w:p>
          <w:p w14:paraId="20D06E9F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(Double Data Rate)</w:t>
            </w:r>
          </w:p>
        </w:tc>
        <w:tc>
          <w:tcPr>
            <w:tcW w:w="2822" w:type="dxa"/>
            <w:vAlign w:val="center"/>
          </w:tcPr>
          <w:p w14:paraId="7C37789C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2 次（上升沿和下降沿）</w:t>
            </w:r>
          </w:p>
        </w:tc>
        <w:tc>
          <w:tcPr>
            <w:tcW w:w="4356" w:type="dxa"/>
            <w:vAlign w:val="center"/>
          </w:tcPr>
          <w:p w14:paraId="13EB8070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DDR/DDR2/DDR3/DDR4/DDR5、LPDDR 等</w:t>
            </w:r>
          </w:p>
        </w:tc>
      </w:tr>
      <w:tr w14:paraId="443A6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</w:trPr>
        <w:tc>
          <w:tcPr>
            <w:tcW w:w="2177" w:type="dxa"/>
            <w:vAlign w:val="center"/>
          </w:tcPr>
          <w:p w14:paraId="583D1790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QDR</w:t>
            </w:r>
          </w:p>
          <w:p w14:paraId="353D68F0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(Quad Data Rate)</w:t>
            </w:r>
          </w:p>
        </w:tc>
        <w:tc>
          <w:tcPr>
            <w:tcW w:w="2822" w:type="dxa"/>
            <w:vAlign w:val="center"/>
          </w:tcPr>
          <w:p w14:paraId="22C5585C">
            <w:pPr>
              <w:spacing w:line="240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4次</w:t>
            </w:r>
          </w:p>
          <w:p w14:paraId="5FE3E3BF">
            <w:pPr>
              <w:spacing w:line="240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(0°/90°/180°/270°相位)</w:t>
            </w:r>
          </w:p>
        </w:tc>
        <w:tc>
          <w:tcPr>
            <w:tcW w:w="4356" w:type="dxa"/>
            <w:vAlign w:val="center"/>
          </w:tcPr>
          <w:p w14:paraId="2637E8BE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QDR SRAM、某些高速总线</w:t>
            </w:r>
          </w:p>
        </w:tc>
      </w:tr>
      <w:tr w14:paraId="1C697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7" w:type="dxa"/>
            <w:vAlign w:val="center"/>
          </w:tcPr>
          <w:p w14:paraId="71A2CE11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GDDR/LPDDR/HBM</w:t>
            </w:r>
          </w:p>
        </w:tc>
        <w:tc>
          <w:tcPr>
            <w:tcW w:w="2822" w:type="dxa"/>
            <w:vAlign w:val="center"/>
          </w:tcPr>
          <w:p w14:paraId="186D2DF0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8~16次</w:t>
            </w:r>
          </w:p>
          <w:p w14:paraId="19D9EF5D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高预取多相位并行</w:t>
            </w:r>
          </w:p>
        </w:tc>
        <w:tc>
          <w:tcPr>
            <w:tcW w:w="4356" w:type="dxa"/>
            <w:vAlign w:val="center"/>
          </w:tcPr>
          <w:p w14:paraId="6D729BE2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GDDR5/GDDR6/LPDDR5/LPDDR6/HBM2E/HBM3</w:t>
            </w:r>
          </w:p>
        </w:tc>
      </w:tr>
      <w:tr w14:paraId="31FE8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</w:trPr>
        <w:tc>
          <w:tcPr>
            <w:tcW w:w="2177" w:type="dxa"/>
            <w:vAlign w:val="center"/>
          </w:tcPr>
          <w:p w14:paraId="7A24B1BA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SerDes</w:t>
            </w:r>
          </w:p>
        </w:tc>
        <w:tc>
          <w:tcPr>
            <w:tcW w:w="2822" w:type="dxa"/>
            <w:vAlign w:val="center"/>
          </w:tcPr>
          <w:p w14:paraId="5C9606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≧2次</w:t>
            </w:r>
          </w:p>
          <w:p w14:paraId="2C9FC5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信号调制方式</w:t>
            </w:r>
          </w:p>
        </w:tc>
        <w:tc>
          <w:tcPr>
            <w:tcW w:w="4356" w:type="dxa"/>
            <w:vAlign w:val="center"/>
          </w:tcPr>
          <w:p w14:paraId="292F649D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PCIe 5.0/PCIe 6.0/Ethernet 400G/800G等</w:t>
            </w:r>
          </w:p>
        </w:tc>
      </w:tr>
    </w:tbl>
    <w:p w14:paraId="3D526956">
      <w:pPr>
        <w:rPr>
          <w:rFonts w:hint="eastAsia" w:ascii="微软雅黑" w:hAnsi="微软雅黑" w:eastAsia="微软雅黑" w:cs="微软雅黑"/>
          <w:sz w:val="21"/>
          <w:szCs w:val="21"/>
          <w:vertAlign w:val="baseline"/>
          <w:lang w:val="en-US" w:eastAsia="zh-CN"/>
        </w:rPr>
      </w:pPr>
    </w:p>
    <w:p w14:paraId="1FF67F27">
      <w:pPr>
        <w:rPr>
          <w:rFonts w:hint="eastAsia" w:ascii="微软雅黑" w:hAnsi="微软雅黑" w:eastAsia="微软雅黑" w:cs="微软雅黑"/>
          <w:sz w:val="21"/>
          <w:szCs w:val="21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sz w:val="21"/>
          <w:szCs w:val="21"/>
          <w:vertAlign w:val="baseline"/>
          <w:lang w:val="en-US" w:eastAsia="zh-CN"/>
        </w:rPr>
        <w:t>bus width：</w:t>
      </w:r>
      <w:r>
        <w:rPr>
          <w:rFonts w:hint="eastAsia" w:ascii="微软雅黑" w:hAnsi="微软雅黑" w:eastAsia="微软雅黑" w:cs="微软雅黑"/>
          <w:sz w:val="21"/>
          <w:szCs w:val="21"/>
          <w:vertAlign w:val="baseline"/>
          <w:lang w:val="en-US" w:eastAsia="zh-CN"/>
        </w:rPr>
        <w:t>总位宽，指内存接口同时有多少bits可以并行传送。</w:t>
      </w:r>
    </w:p>
    <w:p w14:paraId="1DFAEF35">
      <w:pPr>
        <w:rPr>
          <w:rFonts w:hint="eastAsia" w:ascii="微软雅黑" w:hAnsi="微软雅黑" w:eastAsia="微软雅黑" w:cs="微软雅黑"/>
          <w:b/>
          <w:bCs/>
          <w:sz w:val="21"/>
          <w:szCs w:val="21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sz w:val="21"/>
          <w:szCs w:val="21"/>
          <w:vertAlign w:val="baseline"/>
          <w:lang w:val="en-US" w:eastAsia="zh-CN"/>
        </w:rPr>
        <w:t>peak memory bandwidth：</w:t>
      </w:r>
      <w:r>
        <w:rPr>
          <w:rFonts w:hint="eastAsia" w:ascii="微软雅黑" w:hAnsi="微软雅黑" w:eastAsia="微软雅黑" w:cs="微软雅黑"/>
          <w:sz w:val="21"/>
          <w:szCs w:val="21"/>
          <w:vertAlign w:val="baseline"/>
          <w:lang w:val="en-US" w:eastAsia="zh-CN"/>
        </w:rPr>
        <w:t>峰值带宽，理论上在该频率、该数据速率、该位宽、无其它瓶颈时可以达到的最大字节／秒速率，公式中的Bandwidth即为峰值带宽。而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vertAlign w:val="baseline"/>
          <w:lang w:val="en-US" w:eastAsia="zh-CN"/>
        </w:rPr>
        <w:t>实际带宽＝峰值带宽*总利用率η。</w:t>
      </w:r>
    </w:p>
    <w:p w14:paraId="5FCF765A"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vertAlign w:val="baseline"/>
          <w:lang w:val="en-US" w:eastAsia="zh-CN"/>
        </w:rPr>
        <w:t>这里的总利用率η受多方面影响，比如：</w:t>
      </w:r>
    </w:p>
    <w:p w14:paraId="588786D7"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vertAlign w:val="baseline"/>
          <w:lang w:val="en-US" w:eastAsia="zh-CN"/>
        </w:rPr>
        <w:t>(1)DDR/GDDR 数据总线大多是半双工，读写要在同一总线上切换方向，切换期间有保护时间的损耗。</w:t>
      </w:r>
    </w:p>
    <w:p w14:paraId="285C1179"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vertAlign w:val="baseline"/>
          <w:lang w:val="en-US" w:eastAsia="zh-CN"/>
        </w:rPr>
        <w:t>(2)DRAM许多约束是纳秒单位，当频率升高时，时钟周期更短，每纳秒单位中的时钟周期数目越多，若控制器并行度不够，就会出现更多空转周期。</w:t>
      </w:r>
    </w:p>
    <w:p w14:paraId="1F01ADF7"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vertAlign w:val="baseline"/>
          <w:lang w:val="en-US" w:eastAsia="zh-CN"/>
        </w:rPr>
        <w:t>(3)错误纠正码、循环冗余校验、命令/地址占用、训练/校准会吃掉一部分有效带宽。</w:t>
      </w:r>
    </w:p>
    <w:p w14:paraId="730E9830"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vertAlign w:val="baseline"/>
          <w:lang w:val="en-US" w:eastAsia="zh-CN"/>
        </w:rPr>
      </w:pPr>
    </w:p>
    <w:p w14:paraId="583A32FF"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vertAlign w:val="baseline"/>
          <w:lang w:val="en-US" w:eastAsia="zh-CN"/>
        </w:rPr>
      </w:pPr>
    </w:p>
    <w:p w14:paraId="48AF8824"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vertAlign w:val="baseline"/>
          <w:lang w:val="en-US" w:eastAsia="zh-CN"/>
        </w:rPr>
      </w:pPr>
    </w:p>
    <w:p w14:paraId="1EB5E7F6"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vertAlign w:val="baseline"/>
          <w:lang w:val="en-US" w:eastAsia="zh-CN"/>
        </w:rPr>
      </w:pPr>
    </w:p>
    <w:p w14:paraId="6984BE3B"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vertAlign w:val="baseline"/>
          <w:lang w:val="en-US" w:eastAsia="zh-CN"/>
        </w:rPr>
      </w:pPr>
    </w:p>
    <w:p w14:paraId="1F2E3862"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vertAlign w:val="baseline"/>
          <w:lang w:val="en-US" w:eastAsia="zh-CN"/>
        </w:rPr>
      </w:pPr>
    </w:p>
    <w:p w14:paraId="2035CDAA"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vertAlign w:val="baseline"/>
          <w:lang w:val="en-US" w:eastAsia="zh-CN"/>
        </w:rPr>
        <w:drawing>
          <wp:inline distT="0" distB="0" distL="114300" distR="114300">
            <wp:extent cx="5271135" cy="1586230"/>
            <wp:effectExtent l="0" t="0" r="12065" b="12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8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F57CA">
      <w:pPr>
        <w:rPr>
          <w:rFonts w:hint="default" w:ascii="微软雅黑" w:hAnsi="微软雅黑" w:eastAsia="微软雅黑" w:cs="微软雅黑"/>
          <w:b w:val="0"/>
          <w:bCs w:val="0"/>
          <w:sz w:val="21"/>
          <w:szCs w:val="21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vertAlign w:val="baseline"/>
          <w:lang w:val="en-US" w:eastAsia="zh-CN"/>
        </w:rPr>
        <w:t>Table 1这个表的第一行和第三行可以看出，随着内存频率的减小，系统功耗也会变小</w:t>
      </w:r>
    </w:p>
    <w:p w14:paraId="5B5D55DB"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vertAlign w:val="baseline"/>
          <w:lang w:val="en-US" w:eastAsia="zh-CN"/>
        </w:rPr>
        <w:drawing>
          <wp:inline distT="0" distB="0" distL="114300" distR="114300">
            <wp:extent cx="5270500" cy="1765300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34028"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vertAlign w:val="baseline"/>
          <w:lang w:val="en-US" w:eastAsia="zh-CN"/>
        </w:rPr>
        <w:t>Figure 8的横轴是按照这些应用或负载对带宽的需求从高到低排列的，可以看出，具有较高带宽需求的应用更多地在1333MHz频率下运行，而对带宽要求较低的应用更多地在800MHz的频率上运行，可以体现出带宽需求与频率分配之间的关系。</w:t>
      </w:r>
    </w:p>
    <w:p w14:paraId="3D1A1B11">
      <w:pPr>
        <w:rPr>
          <w:rFonts w:hint="default" w:ascii="微软雅黑" w:hAnsi="微软雅黑" w:eastAsia="微软雅黑" w:cs="微软雅黑"/>
          <w:b w:val="0"/>
          <w:bCs w:val="0"/>
          <w:sz w:val="21"/>
          <w:szCs w:val="21"/>
          <w:vertAlign w:val="baseline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666444"/>
    <w:rsid w:val="102A35AD"/>
    <w:rsid w:val="408152CF"/>
    <w:rsid w:val="4AF77BCC"/>
    <w:rsid w:val="4E666444"/>
    <w:rsid w:val="61C2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569</Words>
  <Characters>835</Characters>
  <Lines>0</Lines>
  <Paragraphs>0</Paragraphs>
  <TotalTime>347</TotalTime>
  <ScaleCrop>false</ScaleCrop>
  <LinksUpToDate>false</LinksUpToDate>
  <CharactersWithSpaces>857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2025-11-03T06:40:00Z</dcterms:created>
  <dc:creator>Queenie.</dc:creator>
  <cp:lastModifiedBy>Queenie.</cp:lastModifiedBy>
  <dcterms:modified xsi:type="dcterms:W3CDTF">2025-11-11T06:16:10Z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0414FA05DD9E43588B30C878B9115A9B_11</vt:lpwstr>
  </property>
  <property fmtid="{D5CDD505-2E9C-101B-9397-08002B2CF9AE}" pid="4" name="KSOTemplateDocerSaveRecord">
    <vt:lpwstr>eyJoZGlkIjoiZGU5NTFkZmMzYzVlYzNmOGRhMTQwMjE5ZDk5YzMxMGQiLCJ1c2VySWQiOiI5MzcwNDg3MTgifQ==</vt:lpwstr>
  </property>
</Properties>
</file>