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24376">
      <w:pPr>
        <w:pStyle w:val="3"/>
        <w:spacing w:line="360" w:lineRule="auto"/>
        <w:rPr>
          <w:b/>
          <w:bCs/>
          <w:color w:val="auto"/>
          <w:sz w:val="28"/>
          <w:szCs w:val="28"/>
        </w:rPr>
      </w:pPr>
      <w:r>
        <w:rPr>
          <w:rFonts w:hint="eastAsia"/>
          <w:b/>
          <w:bCs/>
          <w:color w:val="auto"/>
          <w:sz w:val="28"/>
          <w:szCs w:val="28"/>
        </w:rPr>
        <w:t>一、考虑</w:t>
      </w:r>
      <w:r>
        <w:rPr>
          <w:b/>
          <w:bCs/>
          <w:color w:val="auto"/>
          <w:sz w:val="28"/>
          <w:szCs w:val="28"/>
        </w:rPr>
        <w:t>特征</w:t>
      </w:r>
    </w:p>
    <w:p w14:paraId="1124C7B5">
      <w:pPr>
        <w:pStyle w:val="32"/>
        <w:spacing w:line="360" w:lineRule="auto"/>
        <w:ind w:left="420"/>
        <w:rPr>
          <w:rFonts w:hint="eastAsia"/>
          <w:b w:val="0"/>
          <w:bCs w:val="0"/>
          <w:lang w:val="en-US" w:eastAsia="zh-CN"/>
        </w:rPr>
      </w:pPr>
      <w:r>
        <w:rPr>
          <w:rFonts w:hint="eastAsia"/>
          <w:b w:val="0"/>
          <w:bCs w:val="0"/>
          <w:lang w:val="en-US" w:eastAsia="zh-CN"/>
        </w:rPr>
        <w:t>负载特征选取：实测中我们会通过改变CPU、GPU、DDR的频率来改变负载，效果评估目前是选了</w:t>
      </w:r>
      <w:r>
        <w:rPr>
          <w:rFonts w:hint="eastAsia"/>
          <w:b/>
          <w:bCs/>
          <w:lang w:val="en-US" w:eastAsia="zh-CN"/>
        </w:rPr>
        <w:t>帧率</w:t>
      </w:r>
      <w:r>
        <w:rPr>
          <w:rFonts w:hint="eastAsia"/>
          <w:b w:val="0"/>
          <w:bCs w:val="0"/>
          <w:lang w:val="en-US" w:eastAsia="zh-CN"/>
        </w:rPr>
        <w:t>和</w:t>
      </w:r>
      <w:r>
        <w:rPr>
          <w:rFonts w:hint="eastAsia"/>
          <w:b/>
          <w:bCs/>
          <w:lang w:val="en-US" w:eastAsia="zh-CN"/>
        </w:rPr>
        <w:t>功耗</w:t>
      </w:r>
      <w:r>
        <w:rPr>
          <w:rFonts w:hint="eastAsia"/>
          <w:b w:val="0"/>
          <w:bCs w:val="0"/>
          <w:lang w:val="en-US" w:eastAsia="zh-CN"/>
        </w:rPr>
        <w:t>两个观测指标，下面是负载特征选取情况，以及其变化对于性能及功耗的影响：</w:t>
      </w:r>
    </w:p>
    <w:p w14:paraId="03FA4EE8">
      <w:pPr>
        <w:pStyle w:val="32"/>
        <w:spacing w:line="360" w:lineRule="auto"/>
        <w:ind w:left="420"/>
        <w:rPr>
          <w:rFonts w:hint="default"/>
          <w:b/>
          <w:bCs/>
          <w:lang w:val="en-US" w:eastAsia="zh-CN"/>
        </w:rPr>
      </w:pPr>
    </w:p>
    <w:p w14:paraId="5196D94B">
      <w:pPr>
        <w:pStyle w:val="32"/>
        <w:numPr>
          <w:ilvl w:val="0"/>
          <w:numId w:val="1"/>
        </w:numPr>
        <w:spacing w:line="360" w:lineRule="auto"/>
        <w:ind w:left="420" w:leftChars="0"/>
        <w:rPr>
          <w:rFonts w:hint="eastAsia"/>
          <w:b/>
          <w:bCs/>
          <w:lang w:val="en-US" w:eastAsia="zh-CN"/>
        </w:rPr>
      </w:pPr>
      <w:r>
        <w:rPr>
          <w:rFonts w:hint="eastAsia" w:asciiTheme="minorHAnsi" w:hAnsiTheme="minorHAnsi" w:eastAsiaTheme="minorEastAsia" w:cstheme="minorBidi"/>
          <w:b/>
          <w:bCs/>
          <w:kern w:val="2"/>
          <w:sz w:val="21"/>
          <w:szCs w:val="22"/>
          <w:lang w:val="en-US" w:eastAsia="zh-CN" w:bidi="ar-SA"/>
        </w:rPr>
        <w:t>(2)</w:t>
      </w:r>
      <w:r>
        <w:rPr>
          <w:rFonts w:hint="eastAsia" w:cstheme="minorBidi"/>
          <w:b/>
          <w:bCs/>
          <w:kern w:val="2"/>
          <w:sz w:val="21"/>
          <w:szCs w:val="22"/>
          <w:lang w:val="en-US" w:eastAsia="zh-CN" w:bidi="ar-SA"/>
        </w:rPr>
        <w:t xml:space="preserve"> (3) </w:t>
      </w:r>
      <w:r>
        <w:rPr>
          <w:rFonts w:hint="eastAsia"/>
          <w:b/>
          <w:bCs/>
          <w:lang w:val="en-US" w:eastAsia="zh-CN"/>
        </w:rPr>
        <w:t>f_cpu、f_gpu、f_ddr，其值可影响其他负载特征，并共同影响功耗和性能。</w:t>
      </w:r>
    </w:p>
    <w:p w14:paraId="3E25F38E">
      <w:pPr>
        <w:pStyle w:val="32"/>
        <w:spacing w:line="360" w:lineRule="auto"/>
        <w:ind w:left="420"/>
        <w:rPr>
          <w:rFonts w:hint="eastAsia"/>
          <w:b/>
          <w:bCs/>
          <w:lang w:val="en-US" w:eastAsia="zh-CN"/>
        </w:rPr>
      </w:pPr>
      <w:r>
        <w:rPr>
          <w:rFonts w:hint="eastAsia"/>
          <w:b/>
          <w:bCs/>
          <w:lang w:val="en-US" w:eastAsia="zh-CN"/>
        </w:rPr>
        <w:t>对FPS:</w:t>
      </w:r>
    </w:p>
    <w:p w14:paraId="49546254">
      <w:pPr>
        <w:pStyle w:val="32"/>
        <w:spacing w:line="360" w:lineRule="auto"/>
        <w:ind w:left="420"/>
        <w:rPr>
          <w:rFonts w:hint="eastAsia"/>
          <w:b w:val="0"/>
          <w:bCs w:val="0"/>
          <w:lang w:val="en-US" w:eastAsia="zh-CN"/>
        </w:rPr>
      </w:pPr>
      <w:r>
        <w:rPr>
          <w:rFonts w:hint="eastAsia"/>
          <w:b w:val="0"/>
          <w:bCs w:val="0"/>
          <w:lang w:val="en-US" w:eastAsia="zh-CN"/>
        </w:rPr>
        <w:t>f_cpu或f_gpu↑→单位时间可完成的工作量 → 帧时↓ → FPS↑</w:t>
      </w:r>
    </w:p>
    <w:p w14:paraId="3FC1584F">
      <w:pPr>
        <w:pStyle w:val="32"/>
        <w:spacing w:line="360" w:lineRule="auto"/>
        <w:ind w:left="420"/>
        <w:rPr>
          <w:rFonts w:hint="eastAsia"/>
          <w:b w:val="0"/>
          <w:bCs w:val="0"/>
          <w:lang w:val="en-US" w:eastAsia="zh-CN"/>
        </w:rPr>
      </w:pPr>
      <w:r>
        <w:rPr>
          <w:rFonts w:hint="eastAsia"/>
          <w:b w:val="0"/>
          <w:bCs w:val="0"/>
          <w:lang w:val="en-US" w:eastAsia="zh-CN"/>
        </w:rPr>
        <w:t>内存受限时，f_ddr↑→峰值内存带宽↑→CPU和GPU 等待时间↓→帧时↓→ FPS↑</w:t>
      </w:r>
    </w:p>
    <w:p w14:paraId="0F6E6702">
      <w:pPr>
        <w:pStyle w:val="32"/>
        <w:spacing w:line="360" w:lineRule="auto"/>
        <w:ind w:left="420"/>
        <w:rPr>
          <w:rFonts w:hint="eastAsia"/>
          <w:b/>
          <w:bCs/>
          <w:lang w:val="en-US" w:eastAsia="zh-CN"/>
        </w:rPr>
      </w:pPr>
      <w:r>
        <w:rPr>
          <w:rFonts w:hint="eastAsia"/>
          <w:b/>
          <w:bCs/>
          <w:lang w:val="en-US" w:eastAsia="zh-CN"/>
        </w:rPr>
        <w:t>对Power：</w:t>
      </w:r>
    </w:p>
    <w:p w14:paraId="46E81822">
      <w:pPr>
        <w:pStyle w:val="32"/>
        <w:spacing w:line="360" w:lineRule="auto"/>
        <w:ind w:left="420"/>
        <w:rPr>
          <w:rFonts w:hint="eastAsia"/>
          <w:b w:val="0"/>
          <w:bCs w:val="0"/>
          <w:lang w:val="en-US" w:eastAsia="zh-CN"/>
        </w:rPr>
      </w:pPr>
      <w:r>
        <w:rPr>
          <w:rFonts w:hint="eastAsia"/>
          <w:b w:val="0"/>
          <w:bCs w:val="0"/>
          <w:lang w:val="en-US" w:eastAsia="zh-CN"/>
        </w:rPr>
        <w:t>Power</w:t>
      </w:r>
      <w:r>
        <w:rPr>
          <w:rFonts w:hint="eastAsia"/>
          <w:b w:val="0"/>
          <w:bCs w:val="0"/>
          <w:vertAlign w:val="subscript"/>
          <w:lang w:val="en-US" w:eastAsia="zh-CN"/>
        </w:rPr>
        <w:t>dyn</w:t>
      </w:r>
      <w:r>
        <w:rPr>
          <w:rFonts w:hint="eastAsia"/>
          <w:b w:val="0"/>
          <w:bCs w:val="0"/>
          <w:lang w:val="en-US" w:eastAsia="zh-CN"/>
        </w:rPr>
        <w:t>=</w:t>
      </w:r>
      <w:r>
        <w:rPr>
          <w:rFonts w:hint="eastAsia" w:ascii="微软雅黑" w:hAnsi="微软雅黑" w:eastAsia="微软雅黑" w:cs="微软雅黑"/>
          <w:b w:val="0"/>
          <w:bCs w:val="0"/>
          <w:lang w:val="en-US" w:eastAsia="zh-CN"/>
        </w:rPr>
        <w:t>ɑ</w:t>
      </w:r>
      <w:r>
        <w:rPr>
          <w:rFonts w:hint="eastAsia"/>
          <w:b w:val="0"/>
          <w:bCs w:val="0"/>
          <w:lang w:val="en-US" w:eastAsia="zh-CN"/>
        </w:rPr>
        <w:t>CV</w:t>
      </w:r>
      <w:r>
        <w:rPr>
          <w:rFonts w:hint="eastAsia"/>
          <w:b w:val="0"/>
          <w:bCs w:val="0"/>
          <w:vertAlign w:val="superscript"/>
          <w:lang w:val="en-US" w:eastAsia="zh-CN"/>
        </w:rPr>
        <w:t>2</w:t>
      </w:r>
      <w:r>
        <w:rPr>
          <w:rFonts w:hint="eastAsia"/>
          <w:b w:val="0"/>
          <w:bCs w:val="0"/>
          <w:lang w:val="en-US" w:eastAsia="zh-CN"/>
        </w:rPr>
        <w:t>f , f↑→Power↑</w:t>
      </w:r>
    </w:p>
    <w:p w14:paraId="480C0831">
      <w:pPr>
        <w:pStyle w:val="32"/>
        <w:spacing w:line="360" w:lineRule="auto"/>
        <w:ind w:left="420"/>
        <w:rPr>
          <w:rFonts w:hint="default"/>
          <w:b w:val="0"/>
          <w:bCs w:val="0"/>
          <w:lang w:val="en-US" w:eastAsia="zh-CN"/>
        </w:rPr>
      </w:pPr>
    </w:p>
    <w:p w14:paraId="57C5D9E7">
      <w:pPr>
        <w:pStyle w:val="32"/>
        <w:numPr>
          <w:ilvl w:val="0"/>
          <w:numId w:val="0"/>
        </w:numPr>
        <w:spacing w:line="360" w:lineRule="auto"/>
        <w:ind w:left="420" w:leftChars="0" w:firstLine="0" w:firstLineChars="0"/>
        <w:rPr>
          <w:rFonts w:hint="eastAsia"/>
          <w:b/>
          <w:bCs/>
          <w:lang w:val="en-US" w:eastAsia="zh-CN"/>
        </w:rPr>
      </w:pPr>
      <w:r>
        <w:rPr>
          <w:rFonts w:hint="eastAsia" w:asciiTheme="minorHAnsi" w:hAnsiTheme="minorHAnsi" w:eastAsiaTheme="minorEastAsia" w:cstheme="minorBidi"/>
          <w:b/>
          <w:bCs/>
          <w:kern w:val="2"/>
          <w:sz w:val="21"/>
          <w:szCs w:val="22"/>
          <w:lang w:val="en-US" w:eastAsia="zh-CN" w:bidi="ar-SA"/>
        </w:rPr>
        <w:t>(4)</w:t>
      </w:r>
      <w:r>
        <w:rPr>
          <w:rFonts w:hint="eastAsia"/>
          <w:b/>
          <w:bCs/>
          <w:lang w:val="en-US" w:eastAsia="zh-CN"/>
        </w:rPr>
        <w:t>(5) util_cpu、util_gpu 直接影响CPU、GPU的工作量，进而影响性能。</w:t>
      </w:r>
    </w:p>
    <w:p w14:paraId="51F0E17B">
      <w:pPr>
        <w:pStyle w:val="32"/>
        <w:numPr>
          <w:ilvl w:val="0"/>
          <w:numId w:val="0"/>
        </w:numPr>
        <w:spacing w:line="360" w:lineRule="auto"/>
        <w:ind w:left="420" w:leftChars="0"/>
        <w:rPr>
          <w:rFonts w:hint="eastAsia"/>
          <w:b/>
          <w:bCs/>
          <w:lang w:val="en-US" w:eastAsia="zh-CN"/>
        </w:rPr>
      </w:pPr>
      <w:r>
        <w:rPr>
          <w:rFonts w:hint="eastAsia"/>
          <w:b w:val="0"/>
          <w:bCs w:val="0"/>
          <w:lang w:val="en-US" w:eastAsia="zh-CN"/>
        </w:rPr>
        <w:t>f_cpu</w:t>
      </w:r>
      <w:r>
        <w:rPr>
          <w:rFonts w:hint="eastAsia"/>
          <w:b w:val="0"/>
          <w:bCs w:val="0"/>
          <w:lang w:val="en-US" w:eastAsia="zh-CN"/>
        </w:rPr>
        <w:t>↑→单位时间可完成的工作量↑→util_cpu↓→帧内 CPU 片段不再排队→FPS↑</w:t>
      </w:r>
      <w:r>
        <w:rPr>
          <w:rFonts w:hint="eastAsia"/>
          <w:b/>
          <w:bCs/>
          <w:lang w:val="en-US" w:eastAsia="zh-CN"/>
        </w:rPr>
        <w:t xml:space="preserve"> </w:t>
      </w:r>
    </w:p>
    <w:p w14:paraId="1B982150">
      <w:pPr>
        <w:pStyle w:val="32"/>
        <w:numPr>
          <w:ilvl w:val="0"/>
          <w:numId w:val="0"/>
        </w:numPr>
        <w:spacing w:line="360" w:lineRule="auto"/>
        <w:ind w:left="420" w:leftChars="0"/>
        <w:rPr>
          <w:rFonts w:hint="default"/>
          <w:b/>
          <w:bCs/>
          <w:lang w:val="en-US" w:eastAsia="zh-CN"/>
        </w:rPr>
      </w:pPr>
    </w:p>
    <w:p w14:paraId="2BD15E1D">
      <w:pPr>
        <w:pStyle w:val="32"/>
        <w:numPr>
          <w:ilvl w:val="0"/>
          <w:numId w:val="2"/>
        </w:numPr>
        <w:spacing w:line="360" w:lineRule="auto"/>
        <w:ind w:left="420" w:leftChars="0" w:firstLine="0" w:firstLineChars="0"/>
        <w:rPr>
          <w:rFonts w:hint="eastAsia"/>
          <w:b/>
          <w:bCs/>
          <w:lang w:val="en-US" w:eastAsia="zh-CN"/>
        </w:rPr>
      </w:pPr>
      <w:r>
        <w:rPr>
          <w:rFonts w:hint="default"/>
          <w:b/>
          <w:bCs/>
          <w:lang w:val="en-US" w:eastAsia="zh-CN"/>
        </w:rPr>
        <w:t>util</w:t>
      </w:r>
      <w:r>
        <w:rPr>
          <w:rFonts w:hint="eastAsia"/>
          <w:b/>
          <w:bCs/>
          <w:lang w:val="en-US" w:eastAsia="zh-CN"/>
        </w:rPr>
        <w:t>_bw内存传输能力的表现，内存带宽限制可能会成为系统性能瓶颈。</w:t>
      </w:r>
    </w:p>
    <w:p w14:paraId="0B7839B9">
      <w:pPr>
        <w:pStyle w:val="32"/>
        <w:numPr>
          <w:ilvl w:val="0"/>
          <w:numId w:val="0"/>
        </w:numPr>
        <w:spacing w:line="360" w:lineRule="auto"/>
        <w:ind w:left="420" w:leftChars="0"/>
        <w:rPr>
          <w:rFonts w:hint="default"/>
          <w:b w:val="0"/>
          <w:bCs w:val="0"/>
          <w:lang w:val="en-US" w:eastAsia="zh-CN"/>
        </w:rPr>
      </w:pPr>
      <w:r>
        <w:rPr>
          <w:rFonts w:hint="default"/>
          <w:b w:val="0"/>
          <w:bCs w:val="0"/>
          <w:lang w:val="en-US" w:eastAsia="zh-CN"/>
        </w:rPr>
        <w:t>CPU/GPU 负载不变</w:t>
      </w:r>
      <w:r>
        <w:rPr>
          <w:rFonts w:hint="eastAsia"/>
          <w:b w:val="0"/>
          <w:bCs w:val="0"/>
          <w:lang w:val="en-US" w:eastAsia="zh-CN"/>
        </w:rPr>
        <w:t>时，</w:t>
      </w:r>
      <w:r>
        <w:rPr>
          <w:rFonts w:hint="default"/>
          <w:b w:val="0"/>
          <w:bCs w:val="0"/>
          <w:lang w:val="en-US" w:eastAsia="zh-CN"/>
        </w:rPr>
        <w:t>f_ddr↑ →</w:t>
      </w:r>
      <w:r>
        <w:rPr>
          <w:rFonts w:hint="eastAsia"/>
          <w:b w:val="0"/>
          <w:bCs w:val="0"/>
          <w:lang w:val="en-US" w:eastAsia="zh-CN"/>
        </w:rPr>
        <w:t>内存传输的数据量↑ →util_bw↑→FPS↑</w:t>
      </w:r>
    </w:p>
    <w:p w14:paraId="0FB5EEE6">
      <w:pPr>
        <w:pStyle w:val="32"/>
        <w:numPr>
          <w:ilvl w:val="0"/>
          <w:numId w:val="0"/>
        </w:numPr>
        <w:spacing w:line="360" w:lineRule="auto"/>
        <w:ind w:left="420" w:leftChars="0"/>
        <w:rPr>
          <w:rFonts w:hint="default"/>
          <w:b w:val="0"/>
          <w:bCs w:val="0"/>
          <w:lang w:val="en-US" w:eastAsia="zh-CN"/>
        </w:rPr>
      </w:pPr>
    </w:p>
    <w:p w14:paraId="14C905BA">
      <w:pPr>
        <w:pStyle w:val="32"/>
        <w:numPr>
          <w:ilvl w:val="0"/>
          <w:numId w:val="0"/>
        </w:numPr>
        <w:spacing w:line="360" w:lineRule="auto"/>
        <w:ind w:left="420" w:leftChars="0"/>
        <w:rPr>
          <w:rFonts w:hint="default"/>
          <w:b/>
          <w:bCs/>
          <w:vertAlign w:val="baseline"/>
          <w:lang w:val="en-US" w:eastAsia="zh-CN"/>
        </w:rPr>
      </w:pPr>
      <w:r>
        <w:rPr>
          <w:rFonts w:hint="eastAsia"/>
          <w:b/>
          <w:bCs/>
          <w:lang w:val="en-US" w:eastAsia="zh-CN"/>
        </w:rPr>
        <w:t>(7) (8)Temp</w:t>
      </w:r>
      <w:r>
        <w:rPr>
          <w:rFonts w:hint="eastAsia"/>
          <w:b/>
          <w:bCs/>
          <w:vertAlign w:val="subscript"/>
          <w:lang w:val="en-US" w:eastAsia="zh-CN"/>
        </w:rPr>
        <w:t>cpu</w:t>
      </w:r>
      <w:r>
        <w:rPr>
          <w:rFonts w:hint="eastAsia"/>
          <w:b/>
          <w:bCs/>
          <w:vertAlign w:val="baseline"/>
          <w:lang w:val="en-US" w:eastAsia="zh-CN"/>
        </w:rPr>
        <w:t>、</w:t>
      </w:r>
      <w:r>
        <w:rPr>
          <w:rFonts w:hint="eastAsia" w:ascii="Times New Roman" w:eastAsia="宋体"/>
          <w:b/>
          <w:bCs/>
          <w:lang w:val="en-US" w:eastAsia="zh-CN"/>
        </w:rPr>
        <w:t>Temp</w:t>
      </w:r>
      <w:r>
        <w:rPr>
          <w:rFonts w:hint="eastAsia" w:ascii="Times New Roman" w:eastAsia="宋体"/>
          <w:b/>
          <w:bCs/>
          <w:vertAlign w:val="subscript"/>
          <w:lang w:val="en-US" w:eastAsia="zh-CN"/>
        </w:rPr>
        <w:t xml:space="preserve">gpu   </w:t>
      </w:r>
      <w:r>
        <w:rPr>
          <w:rFonts w:hint="eastAsia" w:ascii="Times New Roman" w:eastAsia="宋体"/>
          <w:b/>
          <w:bCs/>
          <w:vertAlign w:val="baseline"/>
          <w:lang w:val="en-US" w:eastAsia="zh-CN"/>
        </w:rPr>
        <w:t>温度是热限制的重要指标。</w:t>
      </w:r>
    </w:p>
    <w:p w14:paraId="158A62B2">
      <w:pPr>
        <w:pStyle w:val="32"/>
        <w:numPr>
          <w:ilvl w:val="0"/>
          <w:numId w:val="0"/>
        </w:numPr>
        <w:spacing w:line="360" w:lineRule="auto"/>
        <w:ind w:left="420" w:leftChars="0"/>
        <w:rPr>
          <w:rFonts w:hint="default"/>
          <w:b w:val="0"/>
          <w:bCs w:val="0"/>
          <w:vertAlign w:val="baseline"/>
          <w:lang w:val="en-US" w:eastAsia="zh-CN"/>
        </w:rPr>
      </w:pPr>
      <w:r>
        <w:rPr>
          <w:rFonts w:hint="default"/>
          <w:b w:val="0"/>
          <w:bCs w:val="0"/>
          <w:vertAlign w:val="baseline"/>
          <w:lang w:val="en-US" w:eastAsia="zh-CN"/>
        </w:rPr>
        <w:t xml:space="preserve">f_cpu </w:t>
      </w:r>
      <w:r>
        <w:rPr>
          <w:rFonts w:hint="eastAsia"/>
          <w:b w:val="0"/>
          <w:bCs w:val="0"/>
          <w:vertAlign w:val="baseline"/>
          <w:lang w:val="en-US" w:eastAsia="zh-CN"/>
        </w:rPr>
        <w:t>或f_gpu↑</w:t>
      </w:r>
      <w:r>
        <w:rPr>
          <w:rFonts w:hint="default"/>
          <w:b w:val="0"/>
          <w:bCs w:val="0"/>
          <w:vertAlign w:val="baseline"/>
          <w:lang w:val="en-US" w:eastAsia="zh-CN"/>
        </w:rPr>
        <w:t xml:space="preserve">→ </w:t>
      </w:r>
      <w:r>
        <w:rPr>
          <w:rFonts w:hint="eastAsia"/>
          <w:b w:val="0"/>
          <w:bCs w:val="0"/>
          <w:vertAlign w:val="baseline"/>
          <w:lang w:val="en-US" w:eastAsia="zh-CN"/>
        </w:rPr>
        <w:t>Power</w:t>
      </w:r>
      <w:r>
        <w:rPr>
          <w:rFonts w:hint="default"/>
          <w:b w:val="0"/>
          <w:bCs w:val="0"/>
          <w:vertAlign w:val="baseline"/>
          <w:lang w:val="en-US" w:eastAsia="zh-CN"/>
        </w:rPr>
        <w:t>↑ → 域温上升；当温度逼近</w:t>
      </w:r>
      <w:r>
        <w:rPr>
          <w:rFonts w:hint="eastAsia"/>
          <w:b w:val="0"/>
          <w:bCs w:val="0"/>
          <w:vertAlign w:val="baseline"/>
          <w:lang w:val="en-US" w:eastAsia="zh-CN"/>
        </w:rPr>
        <w:t>最大阈值</w:t>
      </w:r>
      <w:r>
        <w:rPr>
          <w:rFonts w:hint="default"/>
          <w:b w:val="0"/>
          <w:bCs w:val="0"/>
          <w:vertAlign w:val="baseline"/>
          <w:lang w:val="en-US" w:eastAsia="zh-CN"/>
        </w:rPr>
        <w:t>时，</w:t>
      </w:r>
      <w:r>
        <w:rPr>
          <w:rFonts w:hint="eastAsia"/>
          <w:b w:val="0"/>
          <w:bCs w:val="0"/>
          <w:vertAlign w:val="baseline"/>
          <w:lang w:val="en-US" w:eastAsia="zh-CN"/>
        </w:rPr>
        <w:t>自动采取</w:t>
      </w:r>
      <w:r>
        <w:rPr>
          <w:rFonts w:hint="default"/>
          <w:b w:val="0"/>
          <w:bCs w:val="0"/>
          <w:vertAlign w:val="baseline"/>
          <w:lang w:val="en-US" w:eastAsia="zh-CN"/>
        </w:rPr>
        <w:t>降频</w:t>
      </w:r>
      <w:r>
        <w:rPr>
          <w:rFonts w:hint="eastAsia"/>
          <w:b w:val="0"/>
          <w:bCs w:val="0"/>
          <w:vertAlign w:val="baseline"/>
          <w:lang w:val="en-US" w:eastAsia="zh-CN"/>
        </w:rPr>
        <w:t>或</w:t>
      </w:r>
      <w:r>
        <w:rPr>
          <w:rFonts w:hint="default"/>
          <w:b w:val="0"/>
          <w:bCs w:val="0"/>
          <w:vertAlign w:val="baseline"/>
          <w:lang w:val="en-US" w:eastAsia="zh-CN"/>
        </w:rPr>
        <w:t>限功→FPS</w:t>
      </w:r>
      <w:r>
        <w:rPr>
          <w:rFonts w:hint="eastAsia"/>
          <w:b w:val="0"/>
          <w:bCs w:val="0"/>
          <w:vertAlign w:val="baseline"/>
          <w:lang w:val="en-US" w:eastAsia="zh-CN"/>
        </w:rPr>
        <w:t>和Power</w:t>
      </w:r>
      <w:r>
        <w:rPr>
          <w:rFonts w:hint="default"/>
          <w:b w:val="0"/>
          <w:bCs w:val="0"/>
          <w:vertAlign w:val="baseline"/>
          <w:lang w:val="en-US" w:eastAsia="zh-CN"/>
        </w:rPr>
        <w:t>↓</w:t>
      </w:r>
    </w:p>
    <w:p w14:paraId="7030708C">
      <w:pPr>
        <w:pStyle w:val="32"/>
        <w:spacing w:line="360" w:lineRule="auto"/>
        <w:ind w:left="420"/>
        <w:rPr>
          <w:rFonts w:hint="eastAsia"/>
          <w:b/>
          <w:bCs/>
          <w:lang w:val="en-US" w:eastAsia="zh-CN"/>
        </w:rPr>
      </w:pPr>
      <w:r>
        <w:rPr>
          <w:rFonts w:hint="eastAsia"/>
          <w:b/>
          <w:bCs/>
          <w:lang w:val="en-US" w:eastAsia="zh-CN"/>
        </w:rPr>
        <w:t xml:space="preserve"> </w:t>
      </w:r>
    </w:p>
    <w:p w14:paraId="6C0C80FB">
      <w:pPr>
        <w:pStyle w:val="32"/>
        <w:spacing w:line="360" w:lineRule="auto"/>
        <w:ind w:left="0" w:leftChars="0" w:firstLine="420" w:firstLineChars="0"/>
        <w:rPr>
          <w:rFonts w:hint="default"/>
          <w:b/>
          <w:bCs/>
          <w:lang w:val="en-US" w:eastAsia="zh-CN"/>
        </w:rPr>
      </w:pPr>
      <w:r>
        <w:rPr>
          <w:rFonts w:hint="eastAsia"/>
          <w:b/>
          <w:bCs/>
          <w:lang w:val="en-US" w:eastAsia="zh-CN"/>
        </w:rPr>
        <w:t>PS：R/W比、cache命中率不方便实测</w:t>
      </w:r>
      <w:bookmarkStart w:id="0" w:name="_GoBack"/>
      <w:bookmarkEnd w:id="0"/>
    </w:p>
    <w:p w14:paraId="36861312">
      <w:pPr>
        <w:pStyle w:val="3"/>
        <w:spacing w:line="360" w:lineRule="auto"/>
        <w:rPr>
          <w:b/>
          <w:bCs/>
          <w:color w:val="auto"/>
          <w:sz w:val="28"/>
          <w:szCs w:val="28"/>
        </w:rPr>
      </w:pPr>
      <w:r>
        <w:rPr>
          <w:rFonts w:hint="eastAsia"/>
          <w:b/>
          <w:bCs/>
          <w:color w:val="auto"/>
          <w:sz w:val="28"/>
          <w:szCs w:val="28"/>
        </w:rPr>
        <w:t>二、负载定义</w:t>
      </w:r>
    </w:p>
    <w:p w14:paraId="2C1D83B3">
      <w:pPr>
        <w:spacing w:line="360" w:lineRule="auto"/>
        <w:ind w:firstLine="420"/>
      </w:pPr>
      <w:r>
        <w:t xml:space="preserve">在第 1 部分中，我们选取了若干能够表征终端负载算力需求与带宽需求的指标。这些指标共同构成了 GearDVFS </w:t>
      </w:r>
      <w:r>
        <w:rPr>
          <w:rFonts w:hint="eastAsia"/>
        </w:rPr>
        <w:t>（A Workload-Aware）</w:t>
      </w:r>
      <w:r>
        <w:t>所说的“硬件元数据超空间”。</w:t>
      </w:r>
    </w:p>
    <w:p w14:paraId="03524166">
      <w:pPr>
        <w:spacing w:line="360" w:lineRule="auto"/>
        <w:ind w:firstLine="360"/>
      </w:pPr>
      <w:r>
        <w:t xml:space="preserve">与直接把这些指标简单拼成一个 </w:t>
      </w:r>
      <w:r>
        <w:rPr>
          <w:rFonts w:hint="eastAsia"/>
        </w:rPr>
        <w:t>d</w:t>
      </w:r>
      <w:r>
        <w:t xml:space="preserve">维向量不同，这里我们借鉴 GearDVFS 中 </w:t>
      </w:r>
      <w:r>
        <w:rPr>
          <w:b/>
          <w:bCs/>
        </w:rPr>
        <w:t>meta-state Learner</w:t>
      </w:r>
      <w:r>
        <w:t xml:space="preserve"> 的做法：先用一个轻量的 LSTM 编码器，将最近一段时间的原始观测序列映射到一个高维嵌入空间</w:t>
      </w:r>
      <m:oMath>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sup>
        </m:sSup>
      </m:oMath>
      <w:r>
        <w:t xml:space="preserve">中，得到一个 </w:t>
      </w:r>
      <w:r>
        <w:rPr>
          <w:b/>
          <w:bCs/>
        </w:rPr>
        <w:t>LSTM 负载编码向量</w:t>
      </w:r>
      <m:oMath>
        <m:sSub>
          <m:sSubPr>
            <m:ctrlPr>
              <w:rPr>
                <w:rFonts w:ascii="Cambria Math" w:hAnsi="Cambria Math"/>
                <w:b/>
                <w:bCs/>
                <w:i/>
              </w:rPr>
            </m:ctrlPr>
          </m:sSubPr>
          <m:e>
            <m:r>
              <m:rPr>
                <m:sty m:val="bi"/>
              </m:rPr>
              <w:rPr>
                <w:rFonts w:ascii="Cambria Math" w:hAnsi="Cambria Math"/>
              </w:rPr>
              <m:t>z</m:t>
            </m:r>
            <m:ctrlPr>
              <w:rPr>
                <w:rFonts w:ascii="Cambria Math" w:hAnsi="Cambria Math"/>
                <w:b/>
                <w:bCs/>
                <w:i/>
              </w:rPr>
            </m:ctrlPr>
          </m:e>
          <m:sub>
            <m:r>
              <m:rPr>
                <m:sty m:val="bi"/>
              </m:rPr>
              <w:rPr>
                <w:rFonts w:ascii="Cambria Math" w:hAnsi="Cambria Math"/>
              </w:rPr>
              <m:t>t</m:t>
            </m:r>
            <m:ctrlPr>
              <w:rPr>
                <w:rFonts w:ascii="Cambria Math" w:hAnsi="Cambria Math"/>
                <w:b/>
                <w:bCs/>
                <w:i/>
              </w:rPr>
            </m:ctrlPr>
          </m:sub>
        </m:sSub>
      </m:oMath>
      <w:r>
        <w:t>。这个向量显式地编码了：</w:t>
      </w:r>
    </w:p>
    <w:p w14:paraId="05A39198">
      <w:pPr>
        <w:numPr>
          <w:ilvl w:val="0"/>
          <w:numId w:val="3"/>
        </w:numPr>
        <w:spacing w:line="360" w:lineRule="auto"/>
      </w:pPr>
      <w:r>
        <w:t>当前 DVFS 可调参数（如 CPU/DDR 频点）的组合；</w:t>
      </w:r>
    </w:p>
    <w:p w14:paraId="6F1515C9">
      <w:pPr>
        <w:numPr>
          <w:ilvl w:val="0"/>
          <w:numId w:val="3"/>
        </w:numPr>
        <w:spacing w:line="360" w:lineRule="auto"/>
      </w:pPr>
      <w:r>
        <w:t>它们与 CPU/GPU/DDR 利用率、带宽等指标之间的非线性耦合；</w:t>
      </w:r>
    </w:p>
    <w:p w14:paraId="16F1BF3E">
      <w:pPr>
        <w:numPr>
          <w:ilvl w:val="0"/>
          <w:numId w:val="3"/>
        </w:numPr>
        <w:spacing w:line="360" w:lineRule="auto"/>
      </w:pPr>
      <w:r>
        <w:t>以及近期一小段时间内的演化趋势（例如刚刚升/降过频）。</w:t>
      </w:r>
    </w:p>
    <w:p w14:paraId="53426232">
      <w:pPr>
        <w:spacing w:line="360" w:lineRule="auto"/>
        <w:ind w:firstLine="360"/>
      </w:pPr>
      <w:r>
        <w:t>后续我们仍然使用“原型相似性混合”的方式：在 LSTM 嵌入空间中构建若干典型负载原型，并用当前的</w:t>
      </w:r>
      <m:oMath>
        <m:sSub>
          <m:sSubPr>
            <m:ctrlPr>
              <w:rPr>
                <w:rFonts w:ascii="Cambria Math" w:hAnsi="Cambria Math"/>
                <w:b/>
                <w:bCs/>
                <w:i/>
              </w:rPr>
            </m:ctrlPr>
          </m:sSubPr>
          <m:e>
            <m:r>
              <m:rPr>
                <m:sty m:val="bi"/>
              </m:rPr>
              <w:rPr>
                <w:rFonts w:ascii="Cambria Math" w:hAnsi="Cambria Math"/>
              </w:rPr>
              <m:t>z</m:t>
            </m:r>
            <m:ctrlPr>
              <w:rPr>
                <w:rFonts w:ascii="Cambria Math" w:hAnsi="Cambria Math"/>
                <w:b/>
                <w:bCs/>
                <w:i/>
              </w:rPr>
            </m:ctrlPr>
          </m:e>
          <m:sub>
            <m:r>
              <m:rPr>
                <m:sty m:val="bi"/>
              </m:rPr>
              <w:rPr>
                <w:rFonts w:ascii="Cambria Math" w:hAnsi="Cambria Math"/>
              </w:rPr>
              <m:t>t</m:t>
            </m:r>
            <m:ctrlPr>
              <w:rPr>
                <w:rFonts w:ascii="Cambria Math" w:hAnsi="Cambria Math"/>
                <w:b/>
                <w:bCs/>
                <w:i/>
              </w:rPr>
            </m:ctrlPr>
          </m:sub>
        </m:sSub>
      </m:oMath>
      <w:r>
        <w:t>与这些原型的相似度作为负载向量的各个维度。</w:t>
      </w:r>
    </w:p>
    <w:p w14:paraId="34BE0C9B">
      <w:pPr>
        <w:spacing w:line="360" w:lineRule="auto"/>
      </w:pPr>
    </w:p>
    <w:p w14:paraId="79F6541F">
      <w:pPr>
        <w:spacing w:line="360" w:lineRule="auto"/>
        <w:rPr>
          <w:b/>
          <w:bCs/>
        </w:rPr>
      </w:pPr>
      <w:r>
        <w:rPr>
          <w:b/>
          <w:bCs/>
        </w:rPr>
        <w:t>（一）离线阶段：原型负载库构建</w:t>
      </w:r>
    </w:p>
    <w:p w14:paraId="7A0623D7">
      <w:pPr>
        <w:spacing w:line="360" w:lineRule="auto"/>
        <w:rPr>
          <w:b/>
          <w:bCs/>
        </w:rPr>
      </w:pPr>
      <w:r>
        <w:rPr>
          <w:b/>
          <w:bCs/>
        </w:rPr>
        <w:t>1. 数据采集与 LSTM 编码</w:t>
      </w:r>
    </w:p>
    <w:p w14:paraId="5899F59A">
      <w:pPr>
        <w:spacing w:line="360" w:lineRule="auto"/>
        <w:ind w:firstLine="420"/>
      </w:pPr>
      <w:r>
        <w:t>选取若干类典型终端任务，例如计算密集型（纯算子、2D 游戏等）、访存密集型（高分辨率视频播放、内存拷贝）、混合负载（前台渲染 + 后台下载）、以及 I/O / LLM 推理等场景。在不同的 DVFS 配置（CPU/GPU/DDR 频点组合）下运行上述任务，采集硬件元数据序列。</w:t>
      </w:r>
    </w:p>
    <w:p w14:paraId="256FF096">
      <w:pPr>
        <w:spacing w:line="360" w:lineRule="auto"/>
        <w:ind w:firstLine="420"/>
      </w:pPr>
      <w:r>
        <w:t>具体地，对于第</w:t>
      </w:r>
      <w:r>
        <w:rPr>
          <w:rFonts w:hint="eastAsia"/>
        </w:rPr>
        <w:t>t</w:t>
      </w:r>
      <w:r>
        <w:t>个采样窗口，我们构造一个长度为</w:t>
      </w:r>
      <w:r>
        <w:rPr>
          <w:rFonts w:hint="eastAsia"/>
        </w:rPr>
        <w:t>K</w:t>
      </w:r>
      <w:r>
        <w:t>的原始观测序列：</w:t>
      </w:r>
    </w:p>
    <w:p w14:paraId="45042545">
      <w:pPr>
        <w:spacing w:line="360" w:lineRule="auto"/>
        <w:jc w:val="center"/>
      </w:pPr>
      <w:r>
        <w:drawing>
          <wp:inline distT="0" distB="0" distL="0" distR="0">
            <wp:extent cx="2305050" cy="423545"/>
            <wp:effectExtent l="0" t="0" r="0" b="0"/>
            <wp:docPr id="184397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76774" name="图片 1"/>
                    <pic:cNvPicPr>
                      <a:picLocks noChangeAspect="1"/>
                    </pic:cNvPicPr>
                  </pic:nvPicPr>
                  <pic:blipFill>
                    <a:blip r:embed="rId4"/>
                    <a:stretch>
                      <a:fillRect/>
                    </a:stretch>
                  </pic:blipFill>
                  <pic:spPr>
                    <a:xfrm>
                      <a:off x="0" y="0"/>
                      <a:ext cx="2340381" cy="430294"/>
                    </a:xfrm>
                    <a:prstGeom prst="rect">
                      <a:avLst/>
                    </a:prstGeom>
                  </pic:spPr>
                </pic:pic>
              </a:graphicData>
            </a:graphic>
          </wp:inline>
        </w:drawing>
      </w:r>
    </w:p>
    <w:p w14:paraId="49925B11">
      <w:pPr>
        <w:spacing w:line="360" w:lineRule="auto"/>
        <w:ind w:firstLine="420"/>
      </w:pPr>
      <w:r>
        <w:t>其中每个</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raw</m:t>
            </m:r>
            <m:ctrlPr>
              <w:rPr>
                <w:rFonts w:ascii="Cambria Math" w:hAnsi="Cambria Math"/>
                <w:i/>
              </w:rPr>
            </m:ctrlPr>
          </m:sup>
        </m:sSubSup>
      </m:oMath>
      <w:r>
        <w:t>包含该子窗口内的 CPU/GPU/DDR 频点与利用率、DDR 带宽与读写比例等原始指标。</w:t>
      </w:r>
    </w:p>
    <w:p w14:paraId="0EBC7265">
      <w:pPr>
        <w:spacing w:line="360" w:lineRule="auto"/>
        <w:ind w:firstLine="420"/>
      </w:pPr>
      <w:r>
        <w:t>我们首先对各维指标做标准化（例如零均值、单位方差），然后将序列</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输入一个离线训练好的 LSTM 编码器 E(</w:t>
      </w:r>
      <w:r>
        <w:rPr>
          <w:rFonts w:hint="eastAsia" w:ascii="MS Gothic" w:hAnsi="MS Gothic" w:eastAsia="MS Gothic" w:cs="MS Gothic"/>
        </w:rPr>
        <w:t>⋅</w:t>
      </w:r>
      <w:r>
        <w:t>)，得到一个高维的负载嵌入向量：</w:t>
      </w:r>
    </w:p>
    <w:p w14:paraId="6E7D50A6">
      <w:pPr>
        <w:spacing w:line="360" w:lineRule="auto"/>
        <w:jc w:val="center"/>
      </w:pPr>
      <w:r>
        <w:drawing>
          <wp:inline distT="0" distB="0" distL="0" distR="0">
            <wp:extent cx="2203450" cy="414020"/>
            <wp:effectExtent l="0" t="0" r="6350" b="5080"/>
            <wp:docPr id="1907724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24964" name="图片 1"/>
                    <pic:cNvPicPr>
                      <a:picLocks noChangeAspect="1"/>
                    </pic:cNvPicPr>
                  </pic:nvPicPr>
                  <pic:blipFill>
                    <a:blip r:embed="rId5"/>
                    <a:stretch>
                      <a:fillRect/>
                    </a:stretch>
                  </pic:blipFill>
                  <pic:spPr>
                    <a:xfrm>
                      <a:off x="0" y="0"/>
                      <a:ext cx="2231199" cy="419399"/>
                    </a:xfrm>
                    <a:prstGeom prst="rect">
                      <a:avLst/>
                    </a:prstGeom>
                  </pic:spPr>
                </pic:pic>
              </a:graphicData>
            </a:graphic>
          </wp:inline>
        </w:drawing>
      </w:r>
    </w:p>
    <w:p w14:paraId="588BE6D7">
      <w:pPr>
        <w:spacing w:line="360" w:lineRule="auto"/>
        <w:ind w:firstLine="420"/>
      </w:pPr>
      <w:r>
        <w:t>其中 n为可调参数个数，</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z</m:t>
            </m:r>
            <m:ctrlPr>
              <w:rPr>
                <w:rFonts w:ascii="Cambria Math" w:hAnsi="Cambria Math"/>
                <w:i/>
              </w:rPr>
            </m:ctrlPr>
          </m:sub>
        </m:sSub>
      </m:oMath>
      <w:r>
        <w:t>可以远大于 n。这样，即便可调参数本身只有 n 个自由度，LSTM 仍然可以利用更高维的表示来显式承载它们之间的耦合关系以及时间依赖性，而不是简单“一维一参数”的线性刻画。</w:t>
      </w:r>
    </w:p>
    <w:p w14:paraId="0A23ADBC">
      <w:pPr>
        <w:spacing w:line="360" w:lineRule="auto"/>
        <w:ind w:firstLine="420"/>
      </w:pPr>
      <w:r>
        <w:t>离线阶段，我们将所有采样窗口对应的 LSTM 编码向量</w:t>
      </w:r>
      <w:r>
        <w:drawing>
          <wp:inline distT="0" distB="0" distL="0" distR="0">
            <wp:extent cx="498475" cy="257175"/>
            <wp:effectExtent l="0" t="0" r="0" b="9525"/>
            <wp:docPr id="171131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0875" name="图片 1"/>
                    <pic:cNvPicPr>
                      <a:picLocks noChangeAspect="1"/>
                    </pic:cNvPicPr>
                  </pic:nvPicPr>
                  <pic:blipFill>
                    <a:blip r:embed="rId6"/>
                    <a:stretch>
                      <a:fillRect/>
                    </a:stretch>
                  </pic:blipFill>
                  <pic:spPr>
                    <a:xfrm>
                      <a:off x="0" y="0"/>
                      <a:ext cx="511818" cy="264345"/>
                    </a:xfrm>
                    <a:prstGeom prst="rect">
                      <a:avLst/>
                    </a:prstGeom>
                  </pic:spPr>
                </pic:pic>
              </a:graphicData>
            </a:graphic>
          </wp:inline>
        </w:drawing>
      </w:r>
      <w:r>
        <w:rPr>
          <w:rFonts w:hint="eastAsia"/>
        </w:rPr>
        <w:t>,</w:t>
      </w:r>
      <w:r>
        <w:t>作为后续原型学习的训练集。</w:t>
      </w:r>
    </w:p>
    <w:p w14:paraId="6D9C2C8A">
      <w:pPr>
        <w:spacing w:line="360" w:lineRule="auto"/>
        <w:ind w:firstLine="420"/>
        <w:rPr>
          <w:rFonts w:hint="eastAsia"/>
          <w:b/>
          <w:bCs/>
        </w:rPr>
      </w:pPr>
      <w:r>
        <w:rPr>
          <w:rFonts w:hint="eastAsia"/>
          <w:b/>
          <w:bCs/>
          <w:highlight w:val="yellow"/>
        </w:rPr>
        <w:t>上述与A Workload-Aware的前半部分几乎一致，直接用LSTM搞个高维向量。后续它用DQN，我们不是不要离散定义嘛，就相似度匹配了。</w:t>
      </w:r>
    </w:p>
    <w:p w14:paraId="6F251DC9">
      <w:pPr>
        <w:spacing w:line="360" w:lineRule="auto"/>
      </w:pPr>
      <w:r>
        <w:rPr>
          <w:b/>
          <w:bCs/>
        </w:rPr>
        <w:t>2. 原型负载学习</w:t>
      </w:r>
    </w:p>
    <w:p w14:paraId="7DF498EF">
      <w:pPr>
        <w:spacing w:line="360" w:lineRule="auto"/>
        <w:ind w:firstLine="420"/>
      </w:pPr>
      <w:r>
        <w:t>在嵌入空间</w:t>
      </w:r>
      <m:oMath>
        <m:sSup>
          <m:sSupPr>
            <m:ctrlPr>
              <w:rPr>
                <w:rFonts w:ascii="Cambria Math" w:hAnsi="Cambria Math"/>
                <w:i/>
              </w:rPr>
            </m:ctrlPr>
          </m:sSupPr>
          <m:e>
            <m:r>
              <m:rPr/>
              <w:rPr>
                <w:rFonts w:ascii="Cambria Math" w:hAnsi="Cambria Math"/>
              </w:rPr>
              <m:t>R</m:t>
            </m:r>
            <m:ctrlPr>
              <w:rPr>
                <w:rFonts w:ascii="Cambria Math" w:hAnsi="Cambria Math"/>
                <w:i/>
              </w:rPr>
            </m:ctrlPr>
          </m:e>
          <m:sup>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sup>
        </m:sSup>
      </m:oMath>
      <w:r>
        <w:t>上，我们基于离线采集得到的</w:t>
      </w:r>
      <w:r>
        <w:drawing>
          <wp:inline distT="0" distB="0" distL="0" distR="0">
            <wp:extent cx="454025" cy="269240"/>
            <wp:effectExtent l="0" t="0" r="3175" b="0"/>
            <wp:docPr id="1832582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2302" name="图片 1"/>
                    <pic:cNvPicPr>
                      <a:picLocks noChangeAspect="1"/>
                    </pic:cNvPicPr>
                  </pic:nvPicPr>
                  <pic:blipFill>
                    <a:blip r:embed="rId7"/>
                    <a:stretch>
                      <a:fillRect/>
                    </a:stretch>
                  </pic:blipFill>
                  <pic:spPr>
                    <a:xfrm>
                      <a:off x="0" y="0"/>
                      <a:ext cx="459740" cy="272812"/>
                    </a:xfrm>
                    <a:prstGeom prst="rect">
                      <a:avLst/>
                    </a:prstGeom>
                  </pic:spPr>
                </pic:pic>
              </a:graphicData>
            </a:graphic>
          </wp:inline>
        </w:drawing>
      </w:r>
      <w:r>
        <w:t>学习 m个“原型负载”中心。这里采用高斯混合模型，</w:t>
      </w:r>
      <w:r>
        <w:rPr>
          <w:rFonts w:hint="eastAsia"/>
        </w:rPr>
        <w:t>或者</w:t>
      </w:r>
      <w:r>
        <w:t>简单的聚类方法（例如 K-means）得到一组原型中心：</w:t>
      </w:r>
    </w:p>
    <w:p w14:paraId="2B9BFED6">
      <w:pPr>
        <w:spacing w:line="360" w:lineRule="auto"/>
        <w:jc w:val="center"/>
      </w:pPr>
      <w:r>
        <w:drawing>
          <wp:inline distT="0" distB="0" distL="0" distR="0">
            <wp:extent cx="1473200" cy="384810"/>
            <wp:effectExtent l="0" t="0" r="0" b="0"/>
            <wp:docPr id="1281418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18703" name="图片 1"/>
                    <pic:cNvPicPr>
                      <a:picLocks noChangeAspect="1"/>
                    </pic:cNvPicPr>
                  </pic:nvPicPr>
                  <pic:blipFill>
                    <a:blip r:embed="rId8"/>
                    <a:stretch>
                      <a:fillRect/>
                    </a:stretch>
                  </pic:blipFill>
                  <pic:spPr>
                    <a:xfrm>
                      <a:off x="0" y="0"/>
                      <a:ext cx="1485761" cy="388324"/>
                    </a:xfrm>
                    <a:prstGeom prst="rect">
                      <a:avLst/>
                    </a:prstGeom>
                  </pic:spPr>
                </pic:pic>
              </a:graphicData>
            </a:graphic>
          </wp:inline>
        </w:drawing>
      </w:r>
    </w:p>
    <w:p w14:paraId="2183336E">
      <w:pPr>
        <w:spacing w:line="360" w:lineRule="auto"/>
        <w:ind w:firstLine="420"/>
      </w:pPr>
      <w:r>
        <w:t>每个</w:t>
      </w:r>
      <m:oMath>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i</m:t>
            </m:r>
            <m:ctrlPr>
              <w:rPr>
                <w:rFonts w:ascii="Cambria Math" w:hAnsi="Cambria Math"/>
                <w:i/>
              </w:rPr>
            </m:ctrlPr>
          </m:sub>
        </m:sSub>
      </m:oMath>
      <w:r>
        <w:t>可以看作一类典型工作负载在 LSTM 嵌入空间中的“簇中心”，例如计算密集型、访存密集型、混合型等。</w:t>
      </w:r>
    </w:p>
    <w:p w14:paraId="0FD56D1D">
      <w:pPr>
        <w:spacing w:line="360" w:lineRule="auto"/>
        <w:ind w:firstLine="420"/>
        <w:rPr>
          <w:rFonts w:hint="eastAsia"/>
        </w:rPr>
      </w:pPr>
      <w:r>
        <w:t>由于 LSTM 已经把多维硬件指标和时间信息融合到</w:t>
      </w:r>
      <m:oMath>
        <m:sSub>
          <m:sSubPr>
            <m:ctrlPr>
              <w:rPr>
                <w:rFonts w:ascii="Cambria Math" w:hAnsi="Cambria Math"/>
                <w:b/>
                <w:bCs/>
                <w:i/>
              </w:rPr>
            </m:ctrlPr>
          </m:sSubPr>
          <m:e>
            <m:r>
              <m:rPr>
                <m:sty m:val="bi"/>
              </m:rPr>
              <w:rPr>
                <w:rFonts w:ascii="Cambria Math" w:hAnsi="Cambria Math"/>
              </w:rPr>
              <m:t>z</m:t>
            </m:r>
            <m:ctrlPr>
              <w:rPr>
                <w:rFonts w:ascii="Cambria Math" w:hAnsi="Cambria Math"/>
                <w:b/>
                <w:bCs/>
                <w:i/>
              </w:rPr>
            </m:ctrlPr>
          </m:e>
          <m:sub>
            <m:r>
              <m:rPr>
                <m:sty m:val="bi"/>
              </m:rPr>
              <w:rPr>
                <w:rFonts w:ascii="Cambria Math" w:hAnsi="Cambria Math"/>
              </w:rPr>
              <m:t>t</m:t>
            </m:r>
            <m:ctrlPr>
              <w:rPr>
                <w:rFonts w:ascii="Cambria Math" w:hAnsi="Cambria Math"/>
                <w:b/>
                <w:bCs/>
                <w:i/>
              </w:rPr>
            </m:ctrlPr>
          </m:sub>
        </m:sSub>
      </m:oMath>
      <w:r>
        <w:t>中，原型学习是在一个已经“吸收了耦合关系”的空间上进行的，这比直接在原始指标空间上聚类更利于区分不同类型的工作负载。</w:t>
      </w:r>
    </w:p>
    <w:p w14:paraId="09C7AF0E">
      <w:pPr>
        <w:spacing w:line="360" w:lineRule="auto"/>
      </w:pPr>
      <w:r>
        <w:rPr>
          <w:b/>
          <w:bCs/>
        </w:rPr>
        <w:t>（二）在线阶段：负载向量的实时计算</w:t>
      </w:r>
    </w:p>
    <w:p w14:paraId="4C93646E">
      <w:pPr>
        <w:spacing w:line="360" w:lineRule="auto"/>
        <w:ind w:firstLine="420"/>
      </w:pPr>
      <w:r>
        <w:t>在线运行时，我们沿用离线阶段的同一套 LSTM 编码器与原型中心，只在每个采样窗口进行轻量计算即可得到当前时刻的负载向量。</w:t>
      </w:r>
    </w:p>
    <w:p w14:paraId="4D80C094">
      <w:pPr>
        <w:spacing w:line="360" w:lineRule="auto"/>
      </w:pPr>
      <w:r>
        <w:rPr>
          <w:b/>
          <w:bCs/>
        </w:rPr>
        <w:t>1. LSTM 编码</w:t>
      </w:r>
    </w:p>
    <w:p w14:paraId="5F68C7D4">
      <w:pPr>
        <w:spacing w:line="360" w:lineRule="auto"/>
      </w:pPr>
      <w:r>
        <w:t>对于当前采样窗口t，维护最近K个子窗口的原始观测序列</w:t>
      </w:r>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hint="eastAsia" w:ascii="Cambria Math" w:hAnsi="Cambria Math"/>
              </w:rPr>
              <m:t>t</m:t>
            </m:r>
            <m:ctrlPr>
              <w:rPr>
                <w:rFonts w:ascii="Cambria Math" w:hAnsi="Cambria Math"/>
                <w:i/>
              </w:rPr>
            </m:ctrlPr>
          </m:sub>
        </m:sSub>
      </m:oMath>
      <w:r>
        <w:t>，依次进行：</w:t>
      </w:r>
    </w:p>
    <w:p w14:paraId="51C6F697">
      <w:pPr>
        <w:numPr>
          <w:ilvl w:val="0"/>
          <w:numId w:val="4"/>
        </w:numPr>
        <w:spacing w:line="360" w:lineRule="auto"/>
      </w:pPr>
      <w:r>
        <w:t>对每个</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raw</m:t>
            </m:r>
            <m:ctrlPr>
              <w:rPr>
                <w:rFonts w:ascii="Cambria Math" w:hAnsi="Cambria Math"/>
                <w:i/>
              </w:rPr>
            </m:ctrlPr>
          </m:sup>
        </m:sSubSup>
      </m:oMath>
      <w:r>
        <w:t>做与离线阶段一致的标准化；</w:t>
      </w:r>
    </w:p>
    <w:p w14:paraId="58EEF23E">
      <w:pPr>
        <w:numPr>
          <w:ilvl w:val="0"/>
          <w:numId w:val="4"/>
        </w:numPr>
        <w:spacing w:line="360" w:lineRule="auto"/>
      </w:pPr>
      <w:r>
        <w:t>将整个序列</w:t>
      </w:r>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hint="eastAsia" w:ascii="Cambria Math" w:hAnsi="Cambria Math"/>
              </w:rPr>
              <m:t>t</m:t>
            </m:r>
            <m:ctrlPr>
              <w:rPr>
                <w:rFonts w:ascii="Cambria Math" w:hAnsi="Cambria Math"/>
                <w:i/>
              </w:rPr>
            </m:ctrlPr>
          </m:sub>
        </m:sSub>
      </m:oMath>
      <w:r>
        <w:t>输入 LSTM 编码器 E(</w:t>
      </w:r>
      <w:r>
        <w:rPr>
          <w:rFonts w:hint="eastAsia" w:ascii="MS Gothic" w:hAnsi="MS Gothic" w:eastAsia="MS Gothic" w:cs="MS Gothic"/>
        </w:rPr>
        <w:t>⋅</w:t>
      </w:r>
      <w:r>
        <w:t>)，得到当前嵌入向量：</w:t>
      </w:r>
    </w:p>
    <w:p w14:paraId="61D02A3C">
      <w:pPr>
        <w:spacing w:line="360" w:lineRule="auto"/>
        <w:jc w:val="center"/>
      </w:pPr>
      <w:r>
        <w:drawing>
          <wp:inline distT="0" distB="0" distL="0" distR="0">
            <wp:extent cx="1568450" cy="325755"/>
            <wp:effectExtent l="0" t="0" r="0" b="0"/>
            <wp:docPr id="2133097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97377" name="图片 1"/>
                    <pic:cNvPicPr>
                      <a:picLocks noChangeAspect="1"/>
                    </pic:cNvPicPr>
                  </pic:nvPicPr>
                  <pic:blipFill>
                    <a:blip r:embed="rId9"/>
                    <a:stretch>
                      <a:fillRect/>
                    </a:stretch>
                  </pic:blipFill>
                  <pic:spPr>
                    <a:xfrm>
                      <a:off x="0" y="0"/>
                      <a:ext cx="1611827" cy="335008"/>
                    </a:xfrm>
                    <a:prstGeom prst="rect">
                      <a:avLst/>
                    </a:prstGeom>
                  </pic:spPr>
                </pic:pic>
              </a:graphicData>
            </a:graphic>
          </wp:inline>
        </w:drawing>
      </w:r>
    </w:p>
    <w:p w14:paraId="037F5C39">
      <w:pPr>
        <w:spacing w:line="360" w:lineRule="auto"/>
        <w:ind w:firstLine="420"/>
        <w:rPr>
          <w:rFonts w:hint="eastAsia"/>
        </w:rPr>
      </w:pPr>
      <w:r>
        <w:t>此时我们不再使用“直接拼硬件指标”的原始向量，而是统一在 LSTM 嵌入空间里工作。后续所有“原型相似度、负载向量、时间平滑”等步骤都在</w:t>
      </w:r>
      <m:oMath>
        <m:sSub>
          <m:sSubPr>
            <m:ctrlPr>
              <w:rPr>
                <w:rFonts w:ascii="Cambria Math" w:hAnsi="Cambria Math"/>
                <w:b/>
                <w:bCs/>
                <w:i/>
              </w:rPr>
            </m:ctrlPr>
          </m:sSubPr>
          <m:e>
            <m:r>
              <m:rPr>
                <m:sty m:val="bi"/>
              </m:rPr>
              <w:rPr>
                <w:rFonts w:ascii="Cambria Math" w:hAnsi="Cambria Math"/>
              </w:rPr>
              <m:t>z</m:t>
            </m:r>
            <m:ctrlPr>
              <w:rPr>
                <w:rFonts w:ascii="Cambria Math" w:hAnsi="Cambria Math"/>
                <w:b/>
                <w:bCs/>
                <w:i/>
              </w:rPr>
            </m:ctrlPr>
          </m:e>
          <m:sub>
            <m:r>
              <m:rPr>
                <m:sty m:val="bi"/>
              </m:rPr>
              <w:rPr>
                <w:rFonts w:ascii="Cambria Math" w:hAnsi="Cambria Math"/>
              </w:rPr>
              <m:t>t</m:t>
            </m:r>
            <m:ctrlPr>
              <w:rPr>
                <w:rFonts w:ascii="Cambria Math" w:hAnsi="Cambria Math"/>
                <w:b/>
                <w:bCs/>
                <w:i/>
              </w:rPr>
            </m:ctrlPr>
          </m:sub>
        </m:sSub>
      </m:oMath>
      <w:r>
        <w:t>上进行。</w:t>
      </w:r>
    </w:p>
    <w:p w14:paraId="4801B6D8">
      <w:pPr>
        <w:spacing w:line="360" w:lineRule="auto"/>
      </w:pPr>
      <w:r>
        <w:rPr>
          <w:b/>
          <w:bCs/>
        </w:rPr>
        <w:t>2. 与原型的相似度与负载向量</w:t>
      </w:r>
    </w:p>
    <w:p w14:paraId="04D068E5">
      <w:pPr>
        <w:spacing w:line="360" w:lineRule="auto"/>
        <w:ind w:firstLine="420"/>
      </w:pPr>
      <w:r>
        <w:t>利用原型中心 {</w:t>
      </w:r>
      <m:oMath>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i</m:t>
            </m:r>
            <m:ctrlPr>
              <w:rPr>
                <w:rFonts w:ascii="Cambria Math" w:hAnsi="Cambria Math"/>
                <w:i/>
              </w:rPr>
            </m:ctrlPr>
          </m:sub>
        </m:sSub>
      </m:oMath>
      <w:r>
        <w:t xml:space="preserve"> }，我们计算</w:t>
      </w:r>
      <m:oMath>
        <m:sSub>
          <m:sSubPr>
            <m:ctrlPr>
              <w:rPr>
                <w:rFonts w:ascii="Cambria Math" w:hAnsi="Cambria Math"/>
                <w:b/>
                <w:bCs/>
                <w:i/>
              </w:rPr>
            </m:ctrlPr>
          </m:sSubPr>
          <m:e>
            <m:r>
              <m:rPr>
                <m:sty m:val="bi"/>
              </m:rPr>
              <w:rPr>
                <w:rFonts w:ascii="Cambria Math" w:hAnsi="Cambria Math"/>
              </w:rPr>
              <m:t>z</m:t>
            </m:r>
            <m:ctrlPr>
              <w:rPr>
                <w:rFonts w:ascii="Cambria Math" w:hAnsi="Cambria Math"/>
                <w:b/>
                <w:bCs/>
                <w:i/>
              </w:rPr>
            </m:ctrlPr>
          </m:e>
          <m:sub>
            <m:r>
              <m:rPr>
                <m:sty m:val="bi"/>
              </m:rPr>
              <w:rPr>
                <w:rFonts w:ascii="Cambria Math" w:hAnsi="Cambria Math"/>
              </w:rPr>
              <m:t>t</m:t>
            </m:r>
            <m:ctrlPr>
              <w:rPr>
                <w:rFonts w:ascii="Cambria Math" w:hAnsi="Cambria Math"/>
                <w:b/>
                <w:bCs/>
                <w:i/>
              </w:rPr>
            </m:ctrlPr>
          </m:sub>
        </m:sSub>
      </m:oMath>
      <w:r>
        <w:t>与每个原型的欧氏距离：</w:t>
      </w:r>
    </w:p>
    <w:p w14:paraId="79C64BA1">
      <w:pPr>
        <w:spacing w:line="360" w:lineRule="auto"/>
        <w:jc w:val="center"/>
      </w:pPr>
      <w:r>
        <w:drawing>
          <wp:inline distT="0" distB="0" distL="0" distR="0">
            <wp:extent cx="2654300" cy="400050"/>
            <wp:effectExtent l="0" t="0" r="0" b="0"/>
            <wp:docPr id="974035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35929" name="图片 1"/>
                    <pic:cNvPicPr>
                      <a:picLocks noChangeAspect="1"/>
                    </pic:cNvPicPr>
                  </pic:nvPicPr>
                  <pic:blipFill>
                    <a:blip r:embed="rId10"/>
                    <a:stretch>
                      <a:fillRect/>
                    </a:stretch>
                  </pic:blipFill>
                  <pic:spPr>
                    <a:xfrm>
                      <a:off x="0" y="0"/>
                      <a:ext cx="2694335" cy="406692"/>
                    </a:xfrm>
                    <a:prstGeom prst="rect">
                      <a:avLst/>
                    </a:prstGeom>
                  </pic:spPr>
                </pic:pic>
              </a:graphicData>
            </a:graphic>
          </wp:inline>
        </w:drawing>
      </w:r>
    </w:p>
    <w:p w14:paraId="314838C9">
      <w:pPr>
        <w:spacing w:line="360" w:lineRule="auto"/>
        <w:ind w:firstLine="420"/>
      </w:pPr>
      <w:r>
        <w:t>将距离转化为相似度：</w:t>
      </w:r>
    </w:p>
    <w:p w14:paraId="3AB7556E">
      <w:pPr>
        <w:spacing w:line="360" w:lineRule="auto"/>
        <w:jc w:val="center"/>
      </w:pPr>
      <w:r>
        <w:drawing>
          <wp:inline distT="0" distB="0" distL="0" distR="0">
            <wp:extent cx="2127250" cy="429895"/>
            <wp:effectExtent l="0" t="0" r="6350" b="8255"/>
            <wp:docPr id="1945813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13334" name="图片 1"/>
                    <pic:cNvPicPr>
                      <a:picLocks noChangeAspect="1"/>
                    </pic:cNvPicPr>
                  </pic:nvPicPr>
                  <pic:blipFill>
                    <a:blip r:embed="rId11"/>
                    <a:stretch>
                      <a:fillRect/>
                    </a:stretch>
                  </pic:blipFill>
                  <pic:spPr>
                    <a:xfrm>
                      <a:off x="0" y="0"/>
                      <a:ext cx="2149507" cy="434945"/>
                    </a:xfrm>
                    <a:prstGeom prst="rect">
                      <a:avLst/>
                    </a:prstGeom>
                  </pic:spPr>
                </pic:pic>
              </a:graphicData>
            </a:graphic>
          </wp:inline>
        </w:drawing>
      </w:r>
    </w:p>
    <w:p w14:paraId="265531B5">
      <w:pPr>
        <w:spacing w:line="360" w:lineRule="auto"/>
        <w:ind w:firstLine="420"/>
      </w:pPr>
      <w:r>
        <w:t>再通过 softmax 得到各原型的混合系数：</w:t>
      </w:r>
    </w:p>
    <w:p w14:paraId="2D60B0F1">
      <w:pPr>
        <w:spacing w:line="360" w:lineRule="auto"/>
        <w:jc w:val="center"/>
      </w:pPr>
      <w:r>
        <w:drawing>
          <wp:inline distT="0" distB="0" distL="0" distR="0">
            <wp:extent cx="2546350" cy="533400"/>
            <wp:effectExtent l="0" t="0" r="6350" b="0"/>
            <wp:docPr id="1916442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42111" name="图片 1"/>
                    <pic:cNvPicPr>
                      <a:picLocks noChangeAspect="1"/>
                    </pic:cNvPicPr>
                  </pic:nvPicPr>
                  <pic:blipFill>
                    <a:blip r:embed="rId12"/>
                    <a:stretch>
                      <a:fillRect/>
                    </a:stretch>
                  </pic:blipFill>
                  <pic:spPr>
                    <a:xfrm>
                      <a:off x="0" y="0"/>
                      <a:ext cx="2589682" cy="542748"/>
                    </a:xfrm>
                    <a:prstGeom prst="rect">
                      <a:avLst/>
                    </a:prstGeom>
                  </pic:spPr>
                </pic:pic>
              </a:graphicData>
            </a:graphic>
          </wp:inline>
        </w:drawing>
      </w:r>
    </w:p>
    <w:p w14:paraId="7170CC43">
      <w:pPr>
        <w:spacing w:line="360" w:lineRule="auto"/>
        <w:ind w:firstLine="420"/>
      </w:pPr>
      <w:r>
        <w:t>其中温度T控制分布的“尖锐程度”。</w:t>
      </w:r>
    </w:p>
    <w:p w14:paraId="0F5927D2">
      <w:pPr>
        <w:spacing w:line="360" w:lineRule="auto"/>
        <w:ind w:firstLine="420"/>
      </w:pPr>
      <w:r>
        <w:t>最终，我们将</w:t>
      </w:r>
      <m:oMath>
        <m:sSub>
          <m:sSubPr>
            <m:ctrlPr>
              <w:rPr>
                <w:rFonts w:ascii="Cambria Math" w:hAnsi="Cambria Math"/>
                <w:i/>
              </w:rPr>
            </m:ctrlPr>
          </m:sSubPr>
          <m:e>
            <m:r>
              <m:rPr>
                <m:sty m:val="p"/>
              </m:rPr>
              <w:rPr>
                <w:rFonts w:ascii="Cambria Math" w:hAnsi="Cambria Math"/>
              </w:rPr>
              <m:t>α</m:t>
            </m:r>
            <m:ctrlPr>
              <w:rPr>
                <w:rFonts w:ascii="Cambria Math" w:hAnsi="Cambria Math"/>
                <w:i/>
              </w:rPr>
            </m:ctrlPr>
          </m:e>
          <m:sub>
            <m:r>
              <m:rPr/>
              <w:rPr>
                <w:rFonts w:hint="eastAsia" w:ascii="Cambria Math" w:hAnsi="Cambria Math"/>
              </w:rPr>
              <m:t>i</m:t>
            </m:r>
            <m:ctrlPr>
              <w:rPr>
                <w:rFonts w:ascii="Cambria Math" w:hAnsi="Cambria Math"/>
                <w:i/>
              </w:rPr>
            </m:ctrlPr>
          </m:sub>
        </m:sSub>
      </m:oMath>
      <w:r>
        <w:t xml:space="preserve"> 拼成一个m维负载向量：</w:t>
      </w:r>
    </w:p>
    <w:p w14:paraId="7CECE187">
      <w:pPr>
        <w:spacing w:line="360" w:lineRule="auto"/>
        <w:jc w:val="center"/>
      </w:pPr>
      <w:r>
        <w:drawing>
          <wp:inline distT="0" distB="0" distL="0" distR="0">
            <wp:extent cx="1606550" cy="314325"/>
            <wp:effectExtent l="0" t="0" r="0" b="9525"/>
            <wp:docPr id="609005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05880" name="图片 1"/>
                    <pic:cNvPicPr>
                      <a:picLocks noChangeAspect="1"/>
                    </pic:cNvPicPr>
                  </pic:nvPicPr>
                  <pic:blipFill>
                    <a:blip r:embed="rId13"/>
                    <a:stretch>
                      <a:fillRect/>
                    </a:stretch>
                  </pic:blipFill>
                  <pic:spPr>
                    <a:xfrm>
                      <a:off x="0" y="0"/>
                      <a:ext cx="1624071" cy="318230"/>
                    </a:xfrm>
                    <a:prstGeom prst="rect">
                      <a:avLst/>
                    </a:prstGeom>
                  </pic:spPr>
                </pic:pic>
              </a:graphicData>
            </a:graphic>
          </wp:inline>
        </w:drawing>
      </w:r>
    </w:p>
    <w:p w14:paraId="7FB6E855">
      <w:pPr>
        <w:spacing w:line="360" w:lineRule="auto"/>
        <w:ind w:firstLine="360"/>
      </w:pPr>
      <w:r>
        <w:t>这与原先的设计保持一致，只不过“特征空间”从原始指标空间换成了 LSTM 嵌入空间。对</w:t>
      </w:r>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hint="eastAsia" w:ascii="Cambria Math" w:hAnsi="Cambria Math"/>
              </w:rPr>
              <m:t>t</m:t>
            </m:r>
            <m:ctrlPr>
              <w:rPr>
                <w:rFonts w:ascii="Cambria Math" w:hAnsi="Cambria Math"/>
                <w:i/>
              </w:rPr>
            </m:ctrlPr>
          </m:sub>
        </m:sSub>
      </m:oMath>
      <w:r>
        <w:t>的解释同样清晰， 在需要离散标签时，可以取</w:t>
      </w:r>
    </w:p>
    <w:p w14:paraId="36E8AAAF">
      <w:pPr>
        <w:spacing w:line="360" w:lineRule="auto"/>
        <w:jc w:val="center"/>
      </w:pPr>
      <w:r>
        <w:drawing>
          <wp:inline distT="0" distB="0" distL="0" distR="0">
            <wp:extent cx="1479550" cy="358775"/>
            <wp:effectExtent l="0" t="0" r="6350" b="3175"/>
            <wp:docPr id="13045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794" name="图片 1"/>
                    <pic:cNvPicPr>
                      <a:picLocks noChangeAspect="1"/>
                    </pic:cNvPicPr>
                  </pic:nvPicPr>
                  <pic:blipFill>
                    <a:blip r:embed="rId14"/>
                    <a:stretch>
                      <a:fillRect/>
                    </a:stretch>
                  </pic:blipFill>
                  <pic:spPr>
                    <a:xfrm>
                      <a:off x="0" y="0"/>
                      <a:ext cx="1524022" cy="369799"/>
                    </a:xfrm>
                    <a:prstGeom prst="rect">
                      <a:avLst/>
                    </a:prstGeom>
                  </pic:spPr>
                </pic:pic>
              </a:graphicData>
            </a:graphic>
          </wp:inline>
        </w:drawing>
      </w:r>
    </w:p>
    <w:p w14:paraId="2DC063ED">
      <w:pPr>
        <w:spacing w:line="360" w:lineRule="auto"/>
        <w:ind w:firstLine="420"/>
      </w:pPr>
      <w:r>
        <w:t>作为当前负载的主导类型。同时，如果</w:t>
      </w:r>
    </w:p>
    <w:p w14:paraId="0878115D">
      <w:pPr>
        <w:spacing w:line="360" w:lineRule="auto"/>
        <w:jc w:val="center"/>
      </w:pPr>
      <w:r>
        <w:drawing>
          <wp:inline distT="0" distB="0" distL="0" distR="0">
            <wp:extent cx="800100" cy="304800"/>
            <wp:effectExtent l="0" t="0" r="0" b="0"/>
            <wp:docPr id="1256856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56027" name="图片 1"/>
                    <pic:cNvPicPr>
                      <a:picLocks noChangeAspect="1"/>
                    </pic:cNvPicPr>
                  </pic:nvPicPr>
                  <pic:blipFill>
                    <a:blip r:embed="rId15"/>
                    <a:stretch>
                      <a:fillRect/>
                    </a:stretch>
                  </pic:blipFill>
                  <pic:spPr>
                    <a:xfrm>
                      <a:off x="0" y="0"/>
                      <a:ext cx="807272" cy="307977"/>
                    </a:xfrm>
                    <a:prstGeom prst="rect">
                      <a:avLst/>
                    </a:prstGeom>
                  </pic:spPr>
                </pic:pic>
              </a:graphicData>
            </a:graphic>
          </wp:inline>
        </w:drawing>
      </w:r>
    </w:p>
    <w:p w14:paraId="6DD5FA29">
      <w:pPr>
        <w:spacing w:line="360" w:lineRule="auto"/>
        <w:ind w:firstLine="420"/>
        <w:rPr>
          <w:rFonts w:hint="eastAsia"/>
        </w:rPr>
      </w:pPr>
      <w:r>
        <w:t>则将该时刻标记为 Unknown（未知 / OOD 负载），表示当前负载与所有已知原型都不够接近，从而在调频策略上采取更保守的策略，避免对陌生场景进行激进调优。</w:t>
      </w:r>
    </w:p>
    <w:p w14:paraId="44EAE9E9">
      <w:pPr>
        <w:spacing w:line="360" w:lineRule="auto"/>
      </w:pPr>
      <w:r>
        <w:rPr>
          <w:b/>
          <w:bCs/>
        </w:rPr>
        <w:t>3. 时间平滑</w:t>
      </w:r>
    </w:p>
    <w:p w14:paraId="031C6298">
      <w:pPr>
        <w:spacing w:line="360" w:lineRule="auto"/>
        <w:ind w:firstLine="420"/>
      </w:pPr>
      <w:r>
        <w:t>为了避免由于瞬时波动导致的频繁切换，我们仍然对</w:t>
      </w:r>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hint="eastAsia" w:ascii="Cambria Math" w:hAnsi="Cambria Math"/>
              </w:rPr>
              <m:t>t</m:t>
            </m:r>
            <m:ctrlPr>
              <w:rPr>
                <w:rFonts w:ascii="Cambria Math" w:hAnsi="Cambria Math"/>
                <w:i/>
              </w:rPr>
            </m:ctrlPr>
          </m:sub>
        </m:sSub>
      </m:oMath>
      <w:r>
        <w:t>做指数滑动平均平滑：</w:t>
      </w:r>
    </w:p>
    <w:p w14:paraId="5C0090A0">
      <w:pPr>
        <w:spacing w:line="360" w:lineRule="auto"/>
        <w:jc w:val="center"/>
      </w:pPr>
      <w:r>
        <w:drawing>
          <wp:inline distT="0" distB="0" distL="0" distR="0">
            <wp:extent cx="1822450" cy="377825"/>
            <wp:effectExtent l="0" t="0" r="6350" b="3175"/>
            <wp:docPr id="153244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48136" name="图片 1"/>
                    <pic:cNvPicPr>
                      <a:picLocks noChangeAspect="1"/>
                    </pic:cNvPicPr>
                  </pic:nvPicPr>
                  <pic:blipFill>
                    <a:blip r:embed="rId16"/>
                    <a:stretch>
                      <a:fillRect/>
                    </a:stretch>
                  </pic:blipFill>
                  <pic:spPr>
                    <a:xfrm>
                      <a:off x="0" y="0"/>
                      <a:ext cx="1884379" cy="391202"/>
                    </a:xfrm>
                    <a:prstGeom prst="rect">
                      <a:avLst/>
                    </a:prstGeom>
                  </pic:spPr>
                </pic:pic>
              </a:graphicData>
            </a:graphic>
          </wp:inline>
        </w:drawing>
      </w:r>
    </w:p>
    <w:p w14:paraId="2B405BD3">
      <w:pPr>
        <w:spacing w:line="360" w:lineRule="auto"/>
        <w:ind w:firstLine="420"/>
        <w:rPr>
          <w:rFonts w:hint="eastAsia"/>
        </w:rPr>
      </w:pPr>
      <w:r>
        <w:t>其中 β</w:t>
      </w:r>
      <w:r>
        <w:rPr>
          <w:rFonts w:hint="eastAsia" w:ascii="宋体" w:hAnsi="宋体" w:eastAsia="宋体" w:cs="宋体"/>
        </w:rPr>
        <w:t>∈</w:t>
      </w:r>
      <w:r>
        <w:t>[0,1)控制平滑程度，β越大，变化越平稳但响应越慢；β越小，响应越灵敏但抖动可能增大。在线优化器实际使用的是平滑后的向量。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493B32"/>
    <w:multiLevelType w:val="singleLevel"/>
    <w:tmpl w:val="F9493B32"/>
    <w:lvl w:ilvl="0" w:tentative="0">
      <w:start w:val="1"/>
      <w:numFmt w:val="decimal"/>
      <w:suff w:val="space"/>
      <w:lvlText w:val="(%1)"/>
      <w:lvlJc w:val="left"/>
    </w:lvl>
  </w:abstractNum>
  <w:abstractNum w:abstractNumId="1">
    <w:nsid w:val="4546E3C8"/>
    <w:multiLevelType w:val="singleLevel"/>
    <w:tmpl w:val="4546E3C8"/>
    <w:lvl w:ilvl="0" w:tentative="0">
      <w:start w:val="6"/>
      <w:numFmt w:val="decimal"/>
      <w:suff w:val="space"/>
      <w:lvlText w:val="(%1)"/>
      <w:lvlJc w:val="left"/>
    </w:lvl>
  </w:abstractNum>
  <w:abstractNum w:abstractNumId="2">
    <w:nsid w:val="47AA7A93"/>
    <w:multiLevelType w:val="multilevel"/>
    <w:tmpl w:val="47AA7A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4541B51"/>
    <w:multiLevelType w:val="multilevel"/>
    <w:tmpl w:val="74541B51"/>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F1A"/>
    <w:rsid w:val="00085036"/>
    <w:rsid w:val="000E6F1A"/>
    <w:rsid w:val="001C1091"/>
    <w:rsid w:val="00335CD1"/>
    <w:rsid w:val="00340F38"/>
    <w:rsid w:val="003851E6"/>
    <w:rsid w:val="003B16F9"/>
    <w:rsid w:val="00585A2B"/>
    <w:rsid w:val="005A3938"/>
    <w:rsid w:val="00747580"/>
    <w:rsid w:val="00752BE3"/>
    <w:rsid w:val="007E6A47"/>
    <w:rsid w:val="009F3D68"/>
    <w:rsid w:val="00B364BA"/>
    <w:rsid w:val="00B742EC"/>
    <w:rsid w:val="00C85BD8"/>
    <w:rsid w:val="00C87F00"/>
    <w:rsid w:val="00CA6727"/>
    <w:rsid w:val="00D32BAB"/>
    <w:rsid w:val="00D50F1E"/>
    <w:rsid w:val="00DE3477"/>
    <w:rsid w:val="00F06174"/>
    <w:rsid w:val="00F774B8"/>
    <w:rsid w:val="023909D6"/>
    <w:rsid w:val="0A3E36F7"/>
    <w:rsid w:val="0CD63D8E"/>
    <w:rsid w:val="149264FE"/>
    <w:rsid w:val="17620A24"/>
    <w:rsid w:val="1A441FF9"/>
    <w:rsid w:val="322A1CE7"/>
    <w:rsid w:val="41F52311"/>
    <w:rsid w:val="42426BD9"/>
    <w:rsid w:val="4D1D44CA"/>
    <w:rsid w:val="56AD2D63"/>
    <w:rsid w:val="59CF0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jc w:val="left"/>
    </w:pPr>
    <w:rPr>
      <w:sz w:val="18"/>
      <w:szCs w:val="18"/>
    </w:rPr>
  </w:style>
  <w:style w:type="paragraph" w:styleId="12">
    <w:name w:val="header"/>
    <w:basedOn w:val="1"/>
    <w:link w:val="37"/>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szCs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页眉 字符"/>
    <w:basedOn w:val="17"/>
    <w:link w:val="12"/>
    <w:qFormat/>
    <w:uiPriority w:val="99"/>
    <w:rPr>
      <w:sz w:val="18"/>
      <w:szCs w:val="18"/>
    </w:rPr>
  </w:style>
  <w:style w:type="character" w:customStyle="1" w:styleId="38">
    <w:name w:val="页脚 字符"/>
    <w:basedOn w:val="17"/>
    <w:link w:val="11"/>
    <w:qFormat/>
    <w:uiPriority w:val="99"/>
    <w:rPr>
      <w:sz w:val="18"/>
      <w:szCs w:val="18"/>
    </w:rPr>
  </w:style>
  <w:style w:type="character" w:styleId="39">
    <w:name w:val="Placeholder Text"/>
    <w:basedOn w:val="17"/>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报告">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775</Words>
  <Characters>1023</Characters>
  <Lines>14</Lines>
  <Paragraphs>3</Paragraphs>
  <TotalTime>249</TotalTime>
  <ScaleCrop>false</ScaleCrop>
  <LinksUpToDate>false</LinksUpToDate>
  <CharactersWithSpaces>1130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2025-11-20T06:30:00Z</dcterms:created>
  <dc:creator>Guy Hey</dc:creator>
  <cp:lastModifiedBy>Queenie.</cp:lastModifiedBy>
  <dcterms:modified xsi:type="dcterms:W3CDTF">2025-11-21T10:30:38Z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F98371397D0842C699AF3EAA7EA5B3A1_13</vt:lpwstr>
  </property>
  <property fmtid="{D5CDD505-2E9C-101B-9397-08002B2CF9AE}" pid="4" name="KSOTemplateDocerSaveRecord">
    <vt:lpwstr>eyJoZGlkIjoiZGU5NTFkZmMzYzVlYzNmOGRhMTQwMjE5ZDk5YzMxMGQiLCJ1c2VySWQiOiI5MzcwNDg3MTgifQ==</vt:lpwstr>
  </property>
</Properties>
</file>