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25/1-27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25/1</w:t>
      </w:r>
    </w:p>
    <w:p>
      <w:pPr>
        <w:pStyle w:val="ListNumber"/>
      </w:pPr>
      <w:r>
        <w:rPr>
          <w:sz w:val="20"/>
        </w:rPr>
        <w:t>2. улица Торайгырова, 25/2</w:t>
      </w:r>
    </w:p>
    <w:p>
      <w:pPr>
        <w:pStyle w:val="ListNumber"/>
      </w:pPr>
      <w:r>
        <w:rPr>
          <w:sz w:val="20"/>
        </w:rPr>
        <w:t>3. улица Торайгырова, 25/3</w:t>
      </w:r>
    </w:p>
    <w:p>
      <w:pPr>
        <w:pStyle w:val="ListNumber"/>
      </w:pPr>
      <w:r>
        <w:rPr>
          <w:sz w:val="20"/>
        </w:rPr>
        <w:t>4. улица Торайгырова,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