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bookmarkStart w:id="0" w:name="_Hlk478312027"/>
      <w:bookmarkEnd w:id="0"/>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rsidR="00BA1A52">
        <w:t xml:space="preserve"> – Capstone</w:t>
      </w:r>
      <w:r>
        <w:t xml:space="preserve">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9F6B4A">
        <w:rPr>
          <w:noProof/>
        </w:rPr>
        <w:t>March 2017</w:t>
      </w:r>
      <w:r>
        <w:fldChar w:fldCharType="end"/>
      </w:r>
    </w:p>
    <w:p w:rsidR="00CD35BD" w:rsidRDefault="00CD35BD" w:rsidP="00CD35BD">
      <w:pPr>
        <w:pBdr>
          <w:bottom w:val="single" w:sz="6" w:space="1" w:color="auto"/>
        </w:pBdr>
        <w:jc w:val="center"/>
      </w:pPr>
    </w:p>
    <w:p w:rsidR="00624A1A" w:rsidRDefault="00624A1A" w:rsidP="00624A1A">
      <w:pPr>
        <w:jc w:val="center"/>
      </w:pPr>
      <w:bookmarkStart w:id="1" w:name="_Hlk478097976"/>
      <w:r>
        <w:t>ABSTRACT</w:t>
      </w:r>
    </w:p>
    <w:p w:rsidR="0058101D" w:rsidRDefault="00624A1A" w:rsidP="00624A1A">
      <w:pPr>
        <w:jc w:val="center"/>
      </w:pPr>
      <w:r>
        <w:rPr>
          <w:color w:val="FF0000"/>
        </w:rPr>
        <w:t>[</w:t>
      </w:r>
      <w:r w:rsidR="005A3F0E" w:rsidRPr="005A3F0E">
        <w:rPr>
          <w:color w:val="FF0000"/>
        </w:rPr>
        <w:t>write once finished]</w:t>
      </w:r>
    </w:p>
    <w:bookmarkEnd w:id="1"/>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154972"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417174" w:history="1">
            <w:r w:rsidR="00154972" w:rsidRPr="00A73CA3">
              <w:rPr>
                <w:rStyle w:val="Hyperlink"/>
                <w:noProof/>
              </w:rPr>
              <w:t>List of Figures and Tables</w:t>
            </w:r>
            <w:r w:rsidR="00154972">
              <w:rPr>
                <w:noProof/>
                <w:webHidden/>
              </w:rPr>
              <w:tab/>
            </w:r>
            <w:r w:rsidR="00154972">
              <w:rPr>
                <w:noProof/>
                <w:webHidden/>
              </w:rPr>
              <w:fldChar w:fldCharType="begin"/>
            </w:r>
            <w:r w:rsidR="00154972">
              <w:rPr>
                <w:noProof/>
                <w:webHidden/>
              </w:rPr>
              <w:instrText xml:space="preserve"> PAGEREF _Toc478417174 \h </w:instrText>
            </w:r>
            <w:r w:rsidR="00154972">
              <w:rPr>
                <w:noProof/>
                <w:webHidden/>
              </w:rPr>
            </w:r>
            <w:r w:rsidR="00154972">
              <w:rPr>
                <w:noProof/>
                <w:webHidden/>
              </w:rPr>
              <w:fldChar w:fldCharType="separate"/>
            </w:r>
            <w:r w:rsidR="00154972">
              <w:rPr>
                <w:noProof/>
                <w:webHidden/>
              </w:rPr>
              <w:t>3</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75" w:history="1">
            <w:r w:rsidR="00154972" w:rsidRPr="00A73CA3">
              <w:rPr>
                <w:rStyle w:val="Hyperlink"/>
                <w:noProof/>
              </w:rPr>
              <w:t>Introduction</w:t>
            </w:r>
            <w:r w:rsidR="00154972">
              <w:rPr>
                <w:noProof/>
                <w:webHidden/>
              </w:rPr>
              <w:tab/>
            </w:r>
            <w:r w:rsidR="00154972">
              <w:rPr>
                <w:noProof/>
                <w:webHidden/>
              </w:rPr>
              <w:fldChar w:fldCharType="begin"/>
            </w:r>
            <w:r w:rsidR="00154972">
              <w:rPr>
                <w:noProof/>
                <w:webHidden/>
              </w:rPr>
              <w:instrText xml:space="preserve"> PAGEREF _Toc478417175 \h </w:instrText>
            </w:r>
            <w:r w:rsidR="00154972">
              <w:rPr>
                <w:noProof/>
                <w:webHidden/>
              </w:rPr>
            </w:r>
            <w:r w:rsidR="00154972">
              <w:rPr>
                <w:noProof/>
                <w:webHidden/>
              </w:rPr>
              <w:fldChar w:fldCharType="separate"/>
            </w:r>
            <w:r w:rsidR="00154972">
              <w:rPr>
                <w:noProof/>
                <w:webHidden/>
              </w:rPr>
              <w:t>4</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76" w:history="1">
            <w:r w:rsidR="00154972" w:rsidRPr="00A73CA3">
              <w:rPr>
                <w:rStyle w:val="Hyperlink"/>
                <w:noProof/>
              </w:rPr>
              <w:t>Replication of A Quantitative Approach to Tactical Asset Allocation</w:t>
            </w:r>
            <w:r w:rsidR="00154972">
              <w:rPr>
                <w:noProof/>
                <w:webHidden/>
              </w:rPr>
              <w:tab/>
            </w:r>
            <w:r w:rsidR="00154972">
              <w:rPr>
                <w:noProof/>
                <w:webHidden/>
              </w:rPr>
              <w:fldChar w:fldCharType="begin"/>
            </w:r>
            <w:r w:rsidR="00154972">
              <w:rPr>
                <w:noProof/>
                <w:webHidden/>
              </w:rPr>
              <w:instrText xml:space="preserve"> PAGEREF _Toc478417176 \h </w:instrText>
            </w:r>
            <w:r w:rsidR="00154972">
              <w:rPr>
                <w:noProof/>
                <w:webHidden/>
              </w:rPr>
            </w:r>
            <w:r w:rsidR="00154972">
              <w:rPr>
                <w:noProof/>
                <w:webHidden/>
              </w:rPr>
              <w:fldChar w:fldCharType="separate"/>
            </w:r>
            <w:r w:rsidR="00154972">
              <w:rPr>
                <w:noProof/>
                <w:webHidden/>
              </w:rPr>
              <w:t>4</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77" w:history="1">
            <w:r w:rsidR="00154972" w:rsidRPr="00A73CA3">
              <w:rPr>
                <w:rStyle w:val="Hyperlink"/>
                <w:noProof/>
              </w:rPr>
              <w:t>Summary of the paper</w:t>
            </w:r>
            <w:r w:rsidR="00154972">
              <w:rPr>
                <w:noProof/>
                <w:webHidden/>
              </w:rPr>
              <w:tab/>
            </w:r>
            <w:r w:rsidR="00154972">
              <w:rPr>
                <w:noProof/>
                <w:webHidden/>
              </w:rPr>
              <w:fldChar w:fldCharType="begin"/>
            </w:r>
            <w:r w:rsidR="00154972">
              <w:rPr>
                <w:noProof/>
                <w:webHidden/>
              </w:rPr>
              <w:instrText xml:space="preserve"> PAGEREF _Toc478417177 \h </w:instrText>
            </w:r>
            <w:r w:rsidR="00154972">
              <w:rPr>
                <w:noProof/>
                <w:webHidden/>
              </w:rPr>
            </w:r>
            <w:r w:rsidR="00154972">
              <w:rPr>
                <w:noProof/>
                <w:webHidden/>
              </w:rPr>
              <w:fldChar w:fldCharType="separate"/>
            </w:r>
            <w:r w:rsidR="00154972">
              <w:rPr>
                <w:noProof/>
                <w:webHidden/>
              </w:rPr>
              <w:t>4</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78" w:history="1">
            <w:r w:rsidR="00154972" w:rsidRPr="00A73CA3">
              <w:rPr>
                <w:rStyle w:val="Hyperlink"/>
                <w:noProof/>
              </w:rPr>
              <w:t>Data used</w:t>
            </w:r>
            <w:r w:rsidR="00154972">
              <w:rPr>
                <w:noProof/>
                <w:webHidden/>
              </w:rPr>
              <w:tab/>
            </w:r>
            <w:r w:rsidR="00154972">
              <w:rPr>
                <w:noProof/>
                <w:webHidden/>
              </w:rPr>
              <w:fldChar w:fldCharType="begin"/>
            </w:r>
            <w:r w:rsidR="00154972">
              <w:rPr>
                <w:noProof/>
                <w:webHidden/>
              </w:rPr>
              <w:instrText xml:space="preserve"> PAGEREF _Toc478417178 \h </w:instrText>
            </w:r>
            <w:r w:rsidR="00154972">
              <w:rPr>
                <w:noProof/>
                <w:webHidden/>
              </w:rPr>
            </w:r>
            <w:r w:rsidR="00154972">
              <w:rPr>
                <w:noProof/>
                <w:webHidden/>
              </w:rPr>
              <w:fldChar w:fldCharType="separate"/>
            </w:r>
            <w:r w:rsidR="00154972">
              <w:rPr>
                <w:noProof/>
                <w:webHidden/>
              </w:rPr>
              <w:t>4</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79" w:history="1">
            <w:r w:rsidR="00154972" w:rsidRPr="00A73CA3">
              <w:rPr>
                <w:rStyle w:val="Hyperlink"/>
                <w:noProof/>
              </w:rPr>
              <w:t>Strategy Performance Measurement</w:t>
            </w:r>
            <w:r w:rsidR="00154972">
              <w:rPr>
                <w:noProof/>
                <w:webHidden/>
              </w:rPr>
              <w:tab/>
            </w:r>
            <w:r w:rsidR="00154972">
              <w:rPr>
                <w:noProof/>
                <w:webHidden/>
              </w:rPr>
              <w:fldChar w:fldCharType="begin"/>
            </w:r>
            <w:r w:rsidR="00154972">
              <w:rPr>
                <w:noProof/>
                <w:webHidden/>
              </w:rPr>
              <w:instrText xml:space="preserve"> PAGEREF _Toc478417179 \h </w:instrText>
            </w:r>
            <w:r w:rsidR="00154972">
              <w:rPr>
                <w:noProof/>
                <w:webHidden/>
              </w:rPr>
            </w:r>
            <w:r w:rsidR="00154972">
              <w:rPr>
                <w:noProof/>
                <w:webHidden/>
              </w:rPr>
              <w:fldChar w:fldCharType="separate"/>
            </w:r>
            <w:r w:rsidR="00154972">
              <w:rPr>
                <w:noProof/>
                <w:webHidden/>
              </w:rPr>
              <w:t>5</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0" w:history="1">
            <w:r w:rsidR="00154972" w:rsidRPr="00A73CA3">
              <w:rPr>
                <w:rStyle w:val="Hyperlink"/>
                <w:noProof/>
              </w:rPr>
              <w:t>Asset returns including data 2013-2016</w:t>
            </w:r>
            <w:r w:rsidR="00154972">
              <w:rPr>
                <w:noProof/>
                <w:webHidden/>
              </w:rPr>
              <w:tab/>
            </w:r>
            <w:r w:rsidR="00154972">
              <w:rPr>
                <w:noProof/>
                <w:webHidden/>
              </w:rPr>
              <w:fldChar w:fldCharType="begin"/>
            </w:r>
            <w:r w:rsidR="00154972">
              <w:rPr>
                <w:noProof/>
                <w:webHidden/>
              </w:rPr>
              <w:instrText xml:space="preserve"> PAGEREF _Toc478417180 \h </w:instrText>
            </w:r>
            <w:r w:rsidR="00154972">
              <w:rPr>
                <w:noProof/>
                <w:webHidden/>
              </w:rPr>
            </w:r>
            <w:r w:rsidR="00154972">
              <w:rPr>
                <w:noProof/>
                <w:webHidden/>
              </w:rPr>
              <w:fldChar w:fldCharType="separate"/>
            </w:r>
            <w:r w:rsidR="00154972">
              <w:rPr>
                <w:noProof/>
                <w:webHidden/>
              </w:rPr>
              <w:t>6</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1" w:history="1">
            <w:r w:rsidR="00154972" w:rsidRPr="00A73CA3">
              <w:rPr>
                <w:rStyle w:val="Hyperlink"/>
                <w:noProof/>
              </w:rPr>
              <w:t>Replication of Global Tactical Asset Allocation including 2013-2016</w:t>
            </w:r>
            <w:r w:rsidR="00154972">
              <w:rPr>
                <w:noProof/>
                <w:webHidden/>
              </w:rPr>
              <w:tab/>
            </w:r>
            <w:r w:rsidR="00154972">
              <w:rPr>
                <w:noProof/>
                <w:webHidden/>
              </w:rPr>
              <w:fldChar w:fldCharType="begin"/>
            </w:r>
            <w:r w:rsidR="00154972">
              <w:rPr>
                <w:noProof/>
                <w:webHidden/>
              </w:rPr>
              <w:instrText xml:space="preserve"> PAGEREF _Toc478417181 \h </w:instrText>
            </w:r>
            <w:r w:rsidR="00154972">
              <w:rPr>
                <w:noProof/>
                <w:webHidden/>
              </w:rPr>
            </w:r>
            <w:r w:rsidR="00154972">
              <w:rPr>
                <w:noProof/>
                <w:webHidden/>
              </w:rPr>
              <w:fldChar w:fldCharType="separate"/>
            </w:r>
            <w:r w:rsidR="00154972">
              <w:rPr>
                <w:noProof/>
                <w:webHidden/>
              </w:rPr>
              <w:t>7</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82" w:history="1">
            <w:r w:rsidR="00154972" w:rsidRPr="00A73CA3">
              <w:rPr>
                <w:rStyle w:val="Hyperlink"/>
                <w:noProof/>
              </w:rPr>
              <w:t>Analysis of performance</w:t>
            </w:r>
            <w:r w:rsidR="00154972">
              <w:rPr>
                <w:noProof/>
                <w:webHidden/>
              </w:rPr>
              <w:tab/>
            </w:r>
            <w:r w:rsidR="00154972">
              <w:rPr>
                <w:noProof/>
                <w:webHidden/>
              </w:rPr>
              <w:fldChar w:fldCharType="begin"/>
            </w:r>
            <w:r w:rsidR="00154972">
              <w:rPr>
                <w:noProof/>
                <w:webHidden/>
              </w:rPr>
              <w:instrText xml:space="preserve"> PAGEREF _Toc478417182 \h </w:instrText>
            </w:r>
            <w:r w:rsidR="00154972">
              <w:rPr>
                <w:noProof/>
                <w:webHidden/>
              </w:rPr>
            </w:r>
            <w:r w:rsidR="00154972">
              <w:rPr>
                <w:noProof/>
                <w:webHidden/>
              </w:rPr>
              <w:fldChar w:fldCharType="separate"/>
            </w:r>
            <w:r w:rsidR="00154972">
              <w:rPr>
                <w:noProof/>
                <w:webHidden/>
              </w:rPr>
              <w:t>9</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3" w:history="1">
            <w:r w:rsidR="00154972" w:rsidRPr="00A73CA3">
              <w:rPr>
                <w:rStyle w:val="Hyperlink"/>
                <w:noProof/>
              </w:rPr>
              <w:t>Diversification and Modern Portfolio Theory</w:t>
            </w:r>
            <w:r w:rsidR="00154972">
              <w:rPr>
                <w:noProof/>
                <w:webHidden/>
              </w:rPr>
              <w:tab/>
            </w:r>
            <w:r w:rsidR="00154972">
              <w:rPr>
                <w:noProof/>
                <w:webHidden/>
              </w:rPr>
              <w:fldChar w:fldCharType="begin"/>
            </w:r>
            <w:r w:rsidR="00154972">
              <w:rPr>
                <w:noProof/>
                <w:webHidden/>
              </w:rPr>
              <w:instrText xml:space="preserve"> PAGEREF _Toc478417183 \h </w:instrText>
            </w:r>
            <w:r w:rsidR="00154972">
              <w:rPr>
                <w:noProof/>
                <w:webHidden/>
              </w:rPr>
            </w:r>
            <w:r w:rsidR="00154972">
              <w:rPr>
                <w:noProof/>
                <w:webHidden/>
              </w:rPr>
              <w:fldChar w:fldCharType="separate"/>
            </w:r>
            <w:r w:rsidR="00154972">
              <w:rPr>
                <w:noProof/>
                <w:webHidden/>
              </w:rPr>
              <w:t>9</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4" w:history="1">
            <w:r w:rsidR="00154972" w:rsidRPr="00A73CA3">
              <w:rPr>
                <w:rStyle w:val="Hyperlink"/>
                <w:noProof/>
              </w:rPr>
              <w:t>Recent Performance and the Financialisation of Commodities</w:t>
            </w:r>
            <w:r w:rsidR="00154972">
              <w:rPr>
                <w:noProof/>
                <w:webHidden/>
              </w:rPr>
              <w:tab/>
            </w:r>
            <w:r w:rsidR="00154972">
              <w:rPr>
                <w:noProof/>
                <w:webHidden/>
              </w:rPr>
              <w:fldChar w:fldCharType="begin"/>
            </w:r>
            <w:r w:rsidR="00154972">
              <w:rPr>
                <w:noProof/>
                <w:webHidden/>
              </w:rPr>
              <w:instrText xml:space="preserve"> PAGEREF _Toc478417184 \h </w:instrText>
            </w:r>
            <w:r w:rsidR="00154972">
              <w:rPr>
                <w:noProof/>
                <w:webHidden/>
              </w:rPr>
            </w:r>
            <w:r w:rsidR="00154972">
              <w:rPr>
                <w:noProof/>
                <w:webHidden/>
              </w:rPr>
              <w:fldChar w:fldCharType="separate"/>
            </w:r>
            <w:r w:rsidR="00154972">
              <w:rPr>
                <w:noProof/>
                <w:webHidden/>
              </w:rPr>
              <w:t>11</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5" w:history="1">
            <w:r w:rsidR="00154972" w:rsidRPr="00A73CA3">
              <w:rPr>
                <w:rStyle w:val="Hyperlink"/>
                <w:noProof/>
              </w:rPr>
              <w:t>Performance under rising interest rates</w:t>
            </w:r>
            <w:r w:rsidR="00154972">
              <w:rPr>
                <w:noProof/>
                <w:webHidden/>
              </w:rPr>
              <w:tab/>
            </w:r>
            <w:r w:rsidR="00154972">
              <w:rPr>
                <w:noProof/>
                <w:webHidden/>
              </w:rPr>
              <w:fldChar w:fldCharType="begin"/>
            </w:r>
            <w:r w:rsidR="00154972">
              <w:rPr>
                <w:noProof/>
                <w:webHidden/>
              </w:rPr>
              <w:instrText xml:space="preserve"> PAGEREF _Toc478417185 \h </w:instrText>
            </w:r>
            <w:r w:rsidR="00154972">
              <w:rPr>
                <w:noProof/>
                <w:webHidden/>
              </w:rPr>
            </w:r>
            <w:r w:rsidR="00154972">
              <w:rPr>
                <w:noProof/>
                <w:webHidden/>
              </w:rPr>
              <w:fldChar w:fldCharType="separate"/>
            </w:r>
            <w:r w:rsidR="00154972">
              <w:rPr>
                <w:noProof/>
                <w:webHidden/>
              </w:rPr>
              <w:t>15</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86" w:history="1">
            <w:r w:rsidR="00154972" w:rsidRPr="00A73CA3">
              <w:rPr>
                <w:rStyle w:val="Hyperlink"/>
                <w:noProof/>
              </w:rPr>
              <w:t>Practical and behavioural implications for Trend Following Investors</w:t>
            </w:r>
            <w:r w:rsidR="00154972">
              <w:rPr>
                <w:noProof/>
                <w:webHidden/>
              </w:rPr>
              <w:tab/>
            </w:r>
            <w:r w:rsidR="00154972">
              <w:rPr>
                <w:noProof/>
                <w:webHidden/>
              </w:rPr>
              <w:fldChar w:fldCharType="begin"/>
            </w:r>
            <w:r w:rsidR="00154972">
              <w:rPr>
                <w:noProof/>
                <w:webHidden/>
              </w:rPr>
              <w:instrText xml:space="preserve"> PAGEREF _Toc478417186 \h </w:instrText>
            </w:r>
            <w:r w:rsidR="00154972">
              <w:rPr>
                <w:noProof/>
                <w:webHidden/>
              </w:rPr>
            </w:r>
            <w:r w:rsidR="00154972">
              <w:rPr>
                <w:noProof/>
                <w:webHidden/>
              </w:rPr>
              <w:fldChar w:fldCharType="separate"/>
            </w:r>
            <w:r w:rsidR="00154972">
              <w:rPr>
                <w:noProof/>
                <w:webHidden/>
              </w:rPr>
              <w:t>19</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87" w:history="1">
            <w:r w:rsidR="00154972" w:rsidRPr="00A73CA3">
              <w:rPr>
                <w:rStyle w:val="Hyperlink"/>
                <w:noProof/>
              </w:rPr>
              <w:t>Improving returns</w:t>
            </w:r>
            <w:r w:rsidR="00154972">
              <w:rPr>
                <w:noProof/>
                <w:webHidden/>
              </w:rPr>
              <w:tab/>
            </w:r>
            <w:r w:rsidR="00154972">
              <w:rPr>
                <w:noProof/>
                <w:webHidden/>
              </w:rPr>
              <w:fldChar w:fldCharType="begin"/>
            </w:r>
            <w:r w:rsidR="00154972">
              <w:rPr>
                <w:noProof/>
                <w:webHidden/>
              </w:rPr>
              <w:instrText xml:space="preserve"> PAGEREF _Toc478417187 \h </w:instrText>
            </w:r>
            <w:r w:rsidR="00154972">
              <w:rPr>
                <w:noProof/>
                <w:webHidden/>
              </w:rPr>
            </w:r>
            <w:r w:rsidR="00154972">
              <w:rPr>
                <w:noProof/>
                <w:webHidden/>
              </w:rPr>
              <w:fldChar w:fldCharType="separate"/>
            </w:r>
            <w:r w:rsidR="00154972">
              <w:rPr>
                <w:noProof/>
                <w:webHidden/>
              </w:rPr>
              <w:t>19</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8" w:history="1">
            <w:r w:rsidR="00154972" w:rsidRPr="00A73CA3">
              <w:rPr>
                <w:rStyle w:val="Hyperlink"/>
                <w:noProof/>
              </w:rPr>
              <w:t>Diversification of assets</w:t>
            </w:r>
            <w:r w:rsidR="00154972">
              <w:rPr>
                <w:noProof/>
                <w:webHidden/>
              </w:rPr>
              <w:tab/>
            </w:r>
            <w:r w:rsidR="00154972">
              <w:rPr>
                <w:noProof/>
                <w:webHidden/>
              </w:rPr>
              <w:fldChar w:fldCharType="begin"/>
            </w:r>
            <w:r w:rsidR="00154972">
              <w:rPr>
                <w:noProof/>
                <w:webHidden/>
              </w:rPr>
              <w:instrText xml:space="preserve"> PAGEREF _Toc478417188 \h </w:instrText>
            </w:r>
            <w:r w:rsidR="00154972">
              <w:rPr>
                <w:noProof/>
                <w:webHidden/>
              </w:rPr>
            </w:r>
            <w:r w:rsidR="00154972">
              <w:rPr>
                <w:noProof/>
                <w:webHidden/>
              </w:rPr>
              <w:fldChar w:fldCharType="separate"/>
            </w:r>
            <w:r w:rsidR="00154972">
              <w:rPr>
                <w:noProof/>
                <w:webHidden/>
              </w:rPr>
              <w:t>19</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89" w:history="1">
            <w:r w:rsidR="00154972" w:rsidRPr="00A73CA3">
              <w:rPr>
                <w:rStyle w:val="Hyperlink"/>
                <w:noProof/>
              </w:rPr>
              <w:t>Avoiding Whipsaws</w:t>
            </w:r>
            <w:r w:rsidR="00154972">
              <w:rPr>
                <w:noProof/>
                <w:webHidden/>
              </w:rPr>
              <w:tab/>
            </w:r>
            <w:r w:rsidR="00154972">
              <w:rPr>
                <w:noProof/>
                <w:webHidden/>
              </w:rPr>
              <w:fldChar w:fldCharType="begin"/>
            </w:r>
            <w:r w:rsidR="00154972">
              <w:rPr>
                <w:noProof/>
                <w:webHidden/>
              </w:rPr>
              <w:instrText xml:space="preserve"> PAGEREF _Toc478417189 \h </w:instrText>
            </w:r>
            <w:r w:rsidR="00154972">
              <w:rPr>
                <w:noProof/>
                <w:webHidden/>
              </w:rPr>
            </w:r>
            <w:r w:rsidR="00154972">
              <w:rPr>
                <w:noProof/>
                <w:webHidden/>
              </w:rPr>
              <w:fldChar w:fldCharType="separate"/>
            </w:r>
            <w:r w:rsidR="00154972">
              <w:rPr>
                <w:noProof/>
                <w:webHidden/>
              </w:rPr>
              <w:t>20</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0" w:history="1">
            <w:r w:rsidR="00154972" w:rsidRPr="00A73CA3">
              <w:rPr>
                <w:rStyle w:val="Hyperlink"/>
                <w:noProof/>
              </w:rPr>
              <w:t>Delayed entry</w:t>
            </w:r>
            <w:r w:rsidR="00154972">
              <w:rPr>
                <w:noProof/>
                <w:webHidden/>
              </w:rPr>
              <w:tab/>
            </w:r>
            <w:r w:rsidR="00154972">
              <w:rPr>
                <w:noProof/>
                <w:webHidden/>
              </w:rPr>
              <w:fldChar w:fldCharType="begin"/>
            </w:r>
            <w:r w:rsidR="00154972">
              <w:rPr>
                <w:noProof/>
                <w:webHidden/>
              </w:rPr>
              <w:instrText xml:space="preserve"> PAGEREF _Toc478417190 \h </w:instrText>
            </w:r>
            <w:r w:rsidR="00154972">
              <w:rPr>
                <w:noProof/>
                <w:webHidden/>
              </w:rPr>
            </w:r>
            <w:r w:rsidR="00154972">
              <w:rPr>
                <w:noProof/>
                <w:webHidden/>
              </w:rPr>
              <w:fldChar w:fldCharType="separate"/>
            </w:r>
            <w:r w:rsidR="00154972">
              <w:rPr>
                <w:noProof/>
                <w:webHidden/>
              </w:rPr>
              <w:t>21</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1" w:history="1">
            <w:r w:rsidR="00154972" w:rsidRPr="00A73CA3">
              <w:rPr>
                <w:rStyle w:val="Hyperlink"/>
                <w:noProof/>
              </w:rPr>
              <w:t>Timing Band</w:t>
            </w:r>
            <w:r w:rsidR="00154972">
              <w:rPr>
                <w:noProof/>
                <w:webHidden/>
              </w:rPr>
              <w:tab/>
            </w:r>
            <w:r w:rsidR="00154972">
              <w:rPr>
                <w:noProof/>
                <w:webHidden/>
              </w:rPr>
              <w:fldChar w:fldCharType="begin"/>
            </w:r>
            <w:r w:rsidR="00154972">
              <w:rPr>
                <w:noProof/>
                <w:webHidden/>
              </w:rPr>
              <w:instrText xml:space="preserve"> PAGEREF _Toc478417191 \h </w:instrText>
            </w:r>
            <w:r w:rsidR="00154972">
              <w:rPr>
                <w:noProof/>
                <w:webHidden/>
              </w:rPr>
            </w:r>
            <w:r w:rsidR="00154972">
              <w:rPr>
                <w:noProof/>
                <w:webHidden/>
              </w:rPr>
              <w:fldChar w:fldCharType="separate"/>
            </w:r>
            <w:r w:rsidR="00154972">
              <w:rPr>
                <w:noProof/>
                <w:webHidden/>
              </w:rPr>
              <w:t>23</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2" w:history="1">
            <w:r w:rsidR="00154972" w:rsidRPr="00A73CA3">
              <w:rPr>
                <w:rStyle w:val="Hyperlink"/>
                <w:noProof/>
              </w:rPr>
              <w:t>Strategy Diversification</w:t>
            </w:r>
            <w:r w:rsidR="00154972">
              <w:rPr>
                <w:noProof/>
                <w:webHidden/>
              </w:rPr>
              <w:tab/>
            </w:r>
            <w:r w:rsidR="00154972">
              <w:rPr>
                <w:noProof/>
                <w:webHidden/>
              </w:rPr>
              <w:fldChar w:fldCharType="begin"/>
            </w:r>
            <w:r w:rsidR="00154972">
              <w:rPr>
                <w:noProof/>
                <w:webHidden/>
              </w:rPr>
              <w:instrText xml:space="preserve"> PAGEREF _Toc478417192 \h </w:instrText>
            </w:r>
            <w:r w:rsidR="00154972">
              <w:rPr>
                <w:noProof/>
                <w:webHidden/>
              </w:rPr>
            </w:r>
            <w:r w:rsidR="00154972">
              <w:rPr>
                <w:noProof/>
                <w:webHidden/>
              </w:rPr>
              <w:fldChar w:fldCharType="separate"/>
            </w:r>
            <w:r w:rsidR="00154972">
              <w:rPr>
                <w:noProof/>
                <w:webHidden/>
              </w:rPr>
              <w:t>25</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193" w:history="1">
            <w:r w:rsidR="00154972" w:rsidRPr="00A73CA3">
              <w:rPr>
                <w:rStyle w:val="Hyperlink"/>
                <w:noProof/>
              </w:rPr>
              <w:t>A Quantitative Approach to Tactical Asset Allocation in South Africa</w:t>
            </w:r>
            <w:r w:rsidR="00154972">
              <w:rPr>
                <w:noProof/>
                <w:webHidden/>
              </w:rPr>
              <w:tab/>
            </w:r>
            <w:r w:rsidR="00154972">
              <w:rPr>
                <w:noProof/>
                <w:webHidden/>
              </w:rPr>
              <w:fldChar w:fldCharType="begin"/>
            </w:r>
            <w:r w:rsidR="00154972">
              <w:rPr>
                <w:noProof/>
                <w:webHidden/>
              </w:rPr>
              <w:instrText xml:space="preserve"> PAGEREF _Toc478417193 \h </w:instrText>
            </w:r>
            <w:r w:rsidR="00154972">
              <w:rPr>
                <w:noProof/>
                <w:webHidden/>
              </w:rPr>
            </w:r>
            <w:r w:rsidR="00154972">
              <w:rPr>
                <w:noProof/>
                <w:webHidden/>
              </w:rPr>
              <w:fldChar w:fldCharType="separate"/>
            </w:r>
            <w:r w:rsidR="00154972">
              <w:rPr>
                <w:noProof/>
                <w:webHidden/>
              </w:rPr>
              <w:t>28</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4" w:history="1">
            <w:r w:rsidR="00154972" w:rsidRPr="00A73CA3">
              <w:rPr>
                <w:rStyle w:val="Hyperlink"/>
                <w:noProof/>
              </w:rPr>
              <w:t>Data</w:t>
            </w:r>
            <w:r w:rsidR="00154972">
              <w:rPr>
                <w:noProof/>
                <w:webHidden/>
              </w:rPr>
              <w:tab/>
            </w:r>
            <w:r w:rsidR="00154972">
              <w:rPr>
                <w:noProof/>
                <w:webHidden/>
              </w:rPr>
              <w:fldChar w:fldCharType="begin"/>
            </w:r>
            <w:r w:rsidR="00154972">
              <w:rPr>
                <w:noProof/>
                <w:webHidden/>
              </w:rPr>
              <w:instrText xml:space="preserve"> PAGEREF _Toc478417194 \h </w:instrText>
            </w:r>
            <w:r w:rsidR="00154972">
              <w:rPr>
                <w:noProof/>
                <w:webHidden/>
              </w:rPr>
            </w:r>
            <w:r w:rsidR="00154972">
              <w:rPr>
                <w:noProof/>
                <w:webHidden/>
              </w:rPr>
              <w:fldChar w:fldCharType="separate"/>
            </w:r>
            <w:r w:rsidR="00154972">
              <w:rPr>
                <w:noProof/>
                <w:webHidden/>
              </w:rPr>
              <w:t>28</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5" w:history="1">
            <w:r w:rsidR="00154972" w:rsidRPr="00A73CA3">
              <w:rPr>
                <w:rStyle w:val="Hyperlink"/>
                <w:noProof/>
              </w:rPr>
              <w:t>South African Asset Class Returns excluding Real Estate (1971-2016)</w:t>
            </w:r>
            <w:r w:rsidR="00154972">
              <w:rPr>
                <w:noProof/>
                <w:webHidden/>
              </w:rPr>
              <w:tab/>
            </w:r>
            <w:r w:rsidR="00154972">
              <w:rPr>
                <w:noProof/>
                <w:webHidden/>
              </w:rPr>
              <w:fldChar w:fldCharType="begin"/>
            </w:r>
            <w:r w:rsidR="00154972">
              <w:rPr>
                <w:noProof/>
                <w:webHidden/>
              </w:rPr>
              <w:instrText xml:space="preserve"> PAGEREF _Toc478417195 \h </w:instrText>
            </w:r>
            <w:r w:rsidR="00154972">
              <w:rPr>
                <w:noProof/>
                <w:webHidden/>
              </w:rPr>
            </w:r>
            <w:r w:rsidR="00154972">
              <w:rPr>
                <w:noProof/>
                <w:webHidden/>
              </w:rPr>
              <w:fldChar w:fldCharType="separate"/>
            </w:r>
            <w:r w:rsidR="00154972">
              <w:rPr>
                <w:noProof/>
                <w:webHidden/>
              </w:rPr>
              <w:t>29</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196" w:history="1">
            <w:r w:rsidR="00154972" w:rsidRPr="00A73CA3">
              <w:rPr>
                <w:rStyle w:val="Hyperlink"/>
                <w:noProof/>
              </w:rPr>
              <w:t>Timing Signal</w:t>
            </w:r>
            <w:r w:rsidR="00154972">
              <w:rPr>
                <w:noProof/>
                <w:webHidden/>
              </w:rPr>
              <w:tab/>
            </w:r>
            <w:r w:rsidR="00154972">
              <w:rPr>
                <w:noProof/>
                <w:webHidden/>
              </w:rPr>
              <w:fldChar w:fldCharType="begin"/>
            </w:r>
            <w:r w:rsidR="00154972">
              <w:rPr>
                <w:noProof/>
                <w:webHidden/>
              </w:rPr>
              <w:instrText xml:space="preserve"> PAGEREF _Toc478417196 \h </w:instrText>
            </w:r>
            <w:r w:rsidR="00154972">
              <w:rPr>
                <w:noProof/>
                <w:webHidden/>
              </w:rPr>
            </w:r>
            <w:r w:rsidR="00154972">
              <w:rPr>
                <w:noProof/>
                <w:webHidden/>
              </w:rPr>
              <w:fldChar w:fldCharType="separate"/>
            </w:r>
            <w:r w:rsidR="00154972">
              <w:rPr>
                <w:noProof/>
                <w:webHidden/>
              </w:rPr>
              <w:t>29</w:t>
            </w:r>
            <w:r w:rsidR="00154972">
              <w:rPr>
                <w:noProof/>
                <w:webHidden/>
              </w:rPr>
              <w:fldChar w:fldCharType="end"/>
            </w:r>
          </w:hyperlink>
        </w:p>
        <w:p w:rsidR="00154972" w:rsidRDefault="009F6B4A">
          <w:pPr>
            <w:pStyle w:val="TOC3"/>
            <w:tabs>
              <w:tab w:val="right" w:leader="dot" w:pos="9016"/>
            </w:tabs>
            <w:rPr>
              <w:rFonts w:eastAsiaTheme="minorEastAsia"/>
              <w:noProof/>
              <w:lang w:eastAsia="en-AU"/>
            </w:rPr>
          </w:pPr>
          <w:hyperlink w:anchor="_Toc478417197" w:history="1">
            <w:r w:rsidR="00154972" w:rsidRPr="00A73CA3">
              <w:rPr>
                <w:rStyle w:val="Hyperlink"/>
                <w:noProof/>
              </w:rPr>
              <w:t>JALSH – South African Domestic Equities</w:t>
            </w:r>
            <w:r w:rsidR="00154972">
              <w:rPr>
                <w:noProof/>
                <w:webHidden/>
              </w:rPr>
              <w:tab/>
            </w:r>
            <w:r w:rsidR="00154972">
              <w:rPr>
                <w:noProof/>
                <w:webHidden/>
              </w:rPr>
              <w:fldChar w:fldCharType="begin"/>
            </w:r>
            <w:r w:rsidR="00154972">
              <w:rPr>
                <w:noProof/>
                <w:webHidden/>
              </w:rPr>
              <w:instrText xml:space="preserve"> PAGEREF _Toc478417197 \h </w:instrText>
            </w:r>
            <w:r w:rsidR="00154972">
              <w:rPr>
                <w:noProof/>
                <w:webHidden/>
              </w:rPr>
            </w:r>
            <w:r w:rsidR="00154972">
              <w:rPr>
                <w:noProof/>
                <w:webHidden/>
              </w:rPr>
              <w:fldChar w:fldCharType="separate"/>
            </w:r>
            <w:r w:rsidR="00154972">
              <w:rPr>
                <w:noProof/>
                <w:webHidden/>
              </w:rPr>
              <w:t>30</w:t>
            </w:r>
            <w:r w:rsidR="00154972">
              <w:rPr>
                <w:noProof/>
                <w:webHidden/>
              </w:rPr>
              <w:fldChar w:fldCharType="end"/>
            </w:r>
          </w:hyperlink>
        </w:p>
        <w:p w:rsidR="00154972" w:rsidRDefault="009F6B4A">
          <w:pPr>
            <w:pStyle w:val="TOC3"/>
            <w:tabs>
              <w:tab w:val="right" w:leader="dot" w:pos="9016"/>
            </w:tabs>
            <w:rPr>
              <w:rFonts w:eastAsiaTheme="minorEastAsia"/>
              <w:noProof/>
              <w:lang w:eastAsia="en-AU"/>
            </w:rPr>
          </w:pPr>
          <w:hyperlink w:anchor="_Toc478417198" w:history="1">
            <w:r w:rsidR="00154972" w:rsidRPr="00A73CA3">
              <w:rPr>
                <w:rStyle w:val="Hyperlink"/>
                <w:noProof/>
              </w:rPr>
              <w:t>MSCI WORLD – Foreign Developed Equities (in local currency ZAR)</w:t>
            </w:r>
            <w:r w:rsidR="00154972">
              <w:rPr>
                <w:noProof/>
                <w:webHidden/>
              </w:rPr>
              <w:tab/>
            </w:r>
            <w:r w:rsidR="00154972">
              <w:rPr>
                <w:noProof/>
                <w:webHidden/>
              </w:rPr>
              <w:fldChar w:fldCharType="begin"/>
            </w:r>
            <w:r w:rsidR="00154972">
              <w:rPr>
                <w:noProof/>
                <w:webHidden/>
              </w:rPr>
              <w:instrText xml:space="preserve"> PAGEREF _Toc478417198 \h </w:instrText>
            </w:r>
            <w:r w:rsidR="00154972">
              <w:rPr>
                <w:noProof/>
                <w:webHidden/>
              </w:rPr>
            </w:r>
            <w:r w:rsidR="00154972">
              <w:rPr>
                <w:noProof/>
                <w:webHidden/>
              </w:rPr>
              <w:fldChar w:fldCharType="separate"/>
            </w:r>
            <w:r w:rsidR="00154972">
              <w:rPr>
                <w:noProof/>
                <w:webHidden/>
              </w:rPr>
              <w:t>31</w:t>
            </w:r>
            <w:r w:rsidR="00154972">
              <w:rPr>
                <w:noProof/>
                <w:webHidden/>
              </w:rPr>
              <w:fldChar w:fldCharType="end"/>
            </w:r>
          </w:hyperlink>
        </w:p>
        <w:p w:rsidR="00154972" w:rsidRDefault="009F6B4A">
          <w:pPr>
            <w:pStyle w:val="TOC3"/>
            <w:tabs>
              <w:tab w:val="right" w:leader="dot" w:pos="9016"/>
            </w:tabs>
            <w:rPr>
              <w:rFonts w:eastAsiaTheme="minorEastAsia"/>
              <w:noProof/>
              <w:lang w:eastAsia="en-AU"/>
            </w:rPr>
          </w:pPr>
          <w:hyperlink w:anchor="_Toc478417199" w:history="1">
            <w:r w:rsidR="00154972" w:rsidRPr="00A73CA3">
              <w:rPr>
                <w:rStyle w:val="Hyperlink"/>
                <w:noProof/>
              </w:rPr>
              <w:t>SA10YR</w:t>
            </w:r>
            <w:r w:rsidR="00154972">
              <w:rPr>
                <w:noProof/>
                <w:webHidden/>
              </w:rPr>
              <w:tab/>
            </w:r>
            <w:r w:rsidR="00154972">
              <w:rPr>
                <w:noProof/>
                <w:webHidden/>
              </w:rPr>
              <w:fldChar w:fldCharType="begin"/>
            </w:r>
            <w:r w:rsidR="00154972">
              <w:rPr>
                <w:noProof/>
                <w:webHidden/>
              </w:rPr>
              <w:instrText xml:space="preserve"> PAGEREF _Toc478417199 \h </w:instrText>
            </w:r>
            <w:r w:rsidR="00154972">
              <w:rPr>
                <w:noProof/>
                <w:webHidden/>
              </w:rPr>
            </w:r>
            <w:r w:rsidR="00154972">
              <w:rPr>
                <w:noProof/>
                <w:webHidden/>
              </w:rPr>
              <w:fldChar w:fldCharType="separate"/>
            </w:r>
            <w:r w:rsidR="00154972">
              <w:rPr>
                <w:noProof/>
                <w:webHidden/>
              </w:rPr>
              <w:t>32</w:t>
            </w:r>
            <w:r w:rsidR="00154972">
              <w:rPr>
                <w:noProof/>
                <w:webHidden/>
              </w:rPr>
              <w:fldChar w:fldCharType="end"/>
            </w:r>
          </w:hyperlink>
        </w:p>
        <w:p w:rsidR="00154972" w:rsidRDefault="009F6B4A">
          <w:pPr>
            <w:pStyle w:val="TOC3"/>
            <w:tabs>
              <w:tab w:val="right" w:leader="dot" w:pos="9016"/>
            </w:tabs>
            <w:rPr>
              <w:rFonts w:eastAsiaTheme="minorEastAsia"/>
              <w:noProof/>
              <w:lang w:eastAsia="en-AU"/>
            </w:rPr>
          </w:pPr>
          <w:hyperlink w:anchor="_Toc478417200" w:history="1">
            <w:r w:rsidR="00154972" w:rsidRPr="00A73CA3">
              <w:rPr>
                <w:rStyle w:val="Hyperlink"/>
                <w:noProof/>
              </w:rPr>
              <w:t>GSCI – Commodities Index (in local currency ZAR)</w:t>
            </w:r>
            <w:r w:rsidR="00154972">
              <w:rPr>
                <w:noProof/>
                <w:webHidden/>
              </w:rPr>
              <w:tab/>
            </w:r>
            <w:r w:rsidR="00154972">
              <w:rPr>
                <w:noProof/>
                <w:webHidden/>
              </w:rPr>
              <w:fldChar w:fldCharType="begin"/>
            </w:r>
            <w:r w:rsidR="00154972">
              <w:rPr>
                <w:noProof/>
                <w:webHidden/>
              </w:rPr>
              <w:instrText xml:space="preserve"> PAGEREF _Toc478417200 \h </w:instrText>
            </w:r>
            <w:r w:rsidR="00154972">
              <w:rPr>
                <w:noProof/>
                <w:webHidden/>
              </w:rPr>
            </w:r>
            <w:r w:rsidR="00154972">
              <w:rPr>
                <w:noProof/>
                <w:webHidden/>
              </w:rPr>
              <w:fldChar w:fldCharType="separate"/>
            </w:r>
            <w:r w:rsidR="00154972">
              <w:rPr>
                <w:noProof/>
                <w:webHidden/>
              </w:rPr>
              <w:t>33</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201" w:history="1">
            <w:r w:rsidR="00154972" w:rsidRPr="00A73CA3">
              <w:rPr>
                <w:rStyle w:val="Hyperlink"/>
                <w:noProof/>
              </w:rPr>
              <w:t>Systematic Tactical Asset Allocation South Africa (1972-2016)</w:t>
            </w:r>
            <w:r w:rsidR="00154972">
              <w:rPr>
                <w:noProof/>
                <w:webHidden/>
              </w:rPr>
              <w:tab/>
            </w:r>
            <w:r w:rsidR="00154972">
              <w:rPr>
                <w:noProof/>
                <w:webHidden/>
              </w:rPr>
              <w:fldChar w:fldCharType="begin"/>
            </w:r>
            <w:r w:rsidR="00154972">
              <w:rPr>
                <w:noProof/>
                <w:webHidden/>
              </w:rPr>
              <w:instrText xml:space="preserve"> PAGEREF _Toc478417201 \h </w:instrText>
            </w:r>
            <w:r w:rsidR="00154972">
              <w:rPr>
                <w:noProof/>
                <w:webHidden/>
              </w:rPr>
            </w:r>
            <w:r w:rsidR="00154972">
              <w:rPr>
                <w:noProof/>
                <w:webHidden/>
              </w:rPr>
              <w:fldChar w:fldCharType="separate"/>
            </w:r>
            <w:r w:rsidR="00154972">
              <w:rPr>
                <w:noProof/>
                <w:webHidden/>
              </w:rPr>
              <w:t>35</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202" w:history="1">
            <w:r w:rsidR="00154972" w:rsidRPr="00A73CA3">
              <w:rPr>
                <w:rStyle w:val="Hyperlink"/>
                <w:noProof/>
              </w:rPr>
              <w:t>South African Asset Class Returns including Real Estate (1994-2016)</w:t>
            </w:r>
            <w:r w:rsidR="00154972">
              <w:rPr>
                <w:noProof/>
                <w:webHidden/>
              </w:rPr>
              <w:tab/>
            </w:r>
            <w:r w:rsidR="00154972">
              <w:rPr>
                <w:noProof/>
                <w:webHidden/>
              </w:rPr>
              <w:fldChar w:fldCharType="begin"/>
            </w:r>
            <w:r w:rsidR="00154972">
              <w:rPr>
                <w:noProof/>
                <w:webHidden/>
              </w:rPr>
              <w:instrText xml:space="preserve"> PAGEREF _Toc478417202 \h </w:instrText>
            </w:r>
            <w:r w:rsidR="00154972">
              <w:rPr>
                <w:noProof/>
                <w:webHidden/>
              </w:rPr>
            </w:r>
            <w:r w:rsidR="00154972">
              <w:rPr>
                <w:noProof/>
                <w:webHidden/>
              </w:rPr>
              <w:fldChar w:fldCharType="separate"/>
            </w:r>
            <w:r w:rsidR="00154972">
              <w:rPr>
                <w:noProof/>
                <w:webHidden/>
              </w:rPr>
              <w:t>37</w:t>
            </w:r>
            <w:r w:rsidR="00154972">
              <w:rPr>
                <w:noProof/>
                <w:webHidden/>
              </w:rPr>
              <w:fldChar w:fldCharType="end"/>
            </w:r>
          </w:hyperlink>
        </w:p>
        <w:p w:rsidR="00154972" w:rsidRDefault="009F6B4A">
          <w:pPr>
            <w:pStyle w:val="TOC3"/>
            <w:tabs>
              <w:tab w:val="right" w:leader="dot" w:pos="9016"/>
            </w:tabs>
            <w:rPr>
              <w:rFonts w:eastAsiaTheme="minorEastAsia"/>
              <w:noProof/>
              <w:lang w:eastAsia="en-AU"/>
            </w:rPr>
          </w:pPr>
          <w:hyperlink w:anchor="_Toc478417203" w:history="1">
            <w:r w:rsidR="00154972" w:rsidRPr="00A73CA3">
              <w:rPr>
                <w:rStyle w:val="Hyperlink"/>
                <w:noProof/>
              </w:rPr>
              <w:t>JSAPY – South African Real Estate Index</w:t>
            </w:r>
            <w:r w:rsidR="00154972">
              <w:rPr>
                <w:noProof/>
                <w:webHidden/>
              </w:rPr>
              <w:tab/>
            </w:r>
            <w:r w:rsidR="00154972">
              <w:rPr>
                <w:noProof/>
                <w:webHidden/>
              </w:rPr>
              <w:fldChar w:fldCharType="begin"/>
            </w:r>
            <w:r w:rsidR="00154972">
              <w:rPr>
                <w:noProof/>
                <w:webHidden/>
              </w:rPr>
              <w:instrText xml:space="preserve"> PAGEREF _Toc478417203 \h </w:instrText>
            </w:r>
            <w:r w:rsidR="00154972">
              <w:rPr>
                <w:noProof/>
                <w:webHidden/>
              </w:rPr>
            </w:r>
            <w:r w:rsidR="00154972">
              <w:rPr>
                <w:noProof/>
                <w:webHidden/>
              </w:rPr>
              <w:fldChar w:fldCharType="separate"/>
            </w:r>
            <w:r w:rsidR="00154972">
              <w:rPr>
                <w:noProof/>
                <w:webHidden/>
              </w:rPr>
              <w:t>38</w:t>
            </w:r>
            <w:r w:rsidR="00154972">
              <w:rPr>
                <w:noProof/>
                <w:webHidden/>
              </w:rPr>
              <w:fldChar w:fldCharType="end"/>
            </w:r>
          </w:hyperlink>
        </w:p>
        <w:p w:rsidR="00154972" w:rsidRDefault="009F6B4A">
          <w:pPr>
            <w:pStyle w:val="TOC2"/>
            <w:tabs>
              <w:tab w:val="right" w:leader="dot" w:pos="9016"/>
            </w:tabs>
            <w:rPr>
              <w:rFonts w:eastAsiaTheme="minorEastAsia"/>
              <w:noProof/>
              <w:lang w:eastAsia="en-AU"/>
            </w:rPr>
          </w:pPr>
          <w:hyperlink w:anchor="_Toc478417204" w:history="1">
            <w:r w:rsidR="00154972" w:rsidRPr="00A73CA3">
              <w:rPr>
                <w:rStyle w:val="Hyperlink"/>
                <w:noProof/>
              </w:rPr>
              <w:t>Systematic Tactical Asset Allocation South Africa (1994-2016)</w:t>
            </w:r>
            <w:r w:rsidR="00154972">
              <w:rPr>
                <w:noProof/>
                <w:webHidden/>
              </w:rPr>
              <w:tab/>
            </w:r>
            <w:r w:rsidR="00154972">
              <w:rPr>
                <w:noProof/>
                <w:webHidden/>
              </w:rPr>
              <w:fldChar w:fldCharType="begin"/>
            </w:r>
            <w:r w:rsidR="00154972">
              <w:rPr>
                <w:noProof/>
                <w:webHidden/>
              </w:rPr>
              <w:instrText xml:space="preserve"> PAGEREF _Toc478417204 \h </w:instrText>
            </w:r>
            <w:r w:rsidR="00154972">
              <w:rPr>
                <w:noProof/>
                <w:webHidden/>
              </w:rPr>
            </w:r>
            <w:r w:rsidR="00154972">
              <w:rPr>
                <w:noProof/>
                <w:webHidden/>
              </w:rPr>
              <w:fldChar w:fldCharType="separate"/>
            </w:r>
            <w:r w:rsidR="00154972">
              <w:rPr>
                <w:noProof/>
                <w:webHidden/>
              </w:rPr>
              <w:t>39</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205" w:history="1">
            <w:r w:rsidR="00154972" w:rsidRPr="00A73CA3">
              <w:rPr>
                <w:rStyle w:val="Hyperlink"/>
                <w:noProof/>
              </w:rPr>
              <w:t>Comparison to South African funds</w:t>
            </w:r>
            <w:r w:rsidR="00154972">
              <w:rPr>
                <w:noProof/>
                <w:webHidden/>
              </w:rPr>
              <w:tab/>
            </w:r>
            <w:r w:rsidR="00154972">
              <w:rPr>
                <w:noProof/>
                <w:webHidden/>
              </w:rPr>
              <w:fldChar w:fldCharType="begin"/>
            </w:r>
            <w:r w:rsidR="00154972">
              <w:rPr>
                <w:noProof/>
                <w:webHidden/>
              </w:rPr>
              <w:instrText xml:space="preserve"> PAGEREF _Toc478417205 \h </w:instrText>
            </w:r>
            <w:r w:rsidR="00154972">
              <w:rPr>
                <w:noProof/>
                <w:webHidden/>
              </w:rPr>
            </w:r>
            <w:r w:rsidR="00154972">
              <w:rPr>
                <w:noProof/>
                <w:webHidden/>
              </w:rPr>
              <w:fldChar w:fldCharType="separate"/>
            </w:r>
            <w:r w:rsidR="00154972">
              <w:rPr>
                <w:noProof/>
                <w:webHidden/>
              </w:rPr>
              <w:t>41</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206" w:history="1">
            <w:r w:rsidR="00154972" w:rsidRPr="00A73CA3">
              <w:rPr>
                <w:rStyle w:val="Hyperlink"/>
                <w:noProof/>
              </w:rPr>
              <w:t>Conclusion</w:t>
            </w:r>
            <w:r w:rsidR="00154972">
              <w:rPr>
                <w:noProof/>
                <w:webHidden/>
              </w:rPr>
              <w:tab/>
            </w:r>
            <w:r w:rsidR="00154972">
              <w:rPr>
                <w:noProof/>
                <w:webHidden/>
              </w:rPr>
              <w:fldChar w:fldCharType="begin"/>
            </w:r>
            <w:r w:rsidR="00154972">
              <w:rPr>
                <w:noProof/>
                <w:webHidden/>
              </w:rPr>
              <w:instrText xml:space="preserve"> PAGEREF _Toc478417206 \h </w:instrText>
            </w:r>
            <w:r w:rsidR="00154972">
              <w:rPr>
                <w:noProof/>
                <w:webHidden/>
              </w:rPr>
            </w:r>
            <w:r w:rsidR="00154972">
              <w:rPr>
                <w:noProof/>
                <w:webHidden/>
              </w:rPr>
              <w:fldChar w:fldCharType="separate"/>
            </w:r>
            <w:r w:rsidR="00154972">
              <w:rPr>
                <w:noProof/>
                <w:webHidden/>
              </w:rPr>
              <w:t>43</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207" w:history="1">
            <w:r w:rsidR="00154972" w:rsidRPr="00A73CA3">
              <w:rPr>
                <w:rStyle w:val="Hyperlink"/>
                <w:noProof/>
              </w:rPr>
              <w:t>Appendix 1 – Data validity check</w:t>
            </w:r>
            <w:r w:rsidR="00154972">
              <w:rPr>
                <w:noProof/>
                <w:webHidden/>
              </w:rPr>
              <w:tab/>
            </w:r>
            <w:r w:rsidR="00154972">
              <w:rPr>
                <w:noProof/>
                <w:webHidden/>
              </w:rPr>
              <w:fldChar w:fldCharType="begin"/>
            </w:r>
            <w:r w:rsidR="00154972">
              <w:rPr>
                <w:noProof/>
                <w:webHidden/>
              </w:rPr>
              <w:instrText xml:space="preserve"> PAGEREF _Toc478417207 \h </w:instrText>
            </w:r>
            <w:r w:rsidR="00154972">
              <w:rPr>
                <w:noProof/>
                <w:webHidden/>
              </w:rPr>
            </w:r>
            <w:r w:rsidR="00154972">
              <w:rPr>
                <w:noProof/>
                <w:webHidden/>
              </w:rPr>
              <w:fldChar w:fldCharType="separate"/>
            </w:r>
            <w:r w:rsidR="00154972">
              <w:rPr>
                <w:noProof/>
                <w:webHidden/>
              </w:rPr>
              <w:t>44</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208" w:history="1">
            <w:r w:rsidR="00154972" w:rsidRPr="00A73CA3">
              <w:rPr>
                <w:rStyle w:val="Hyperlink"/>
                <w:noProof/>
              </w:rPr>
              <w:t>Appendix 2 – Review of R</w:t>
            </w:r>
            <w:r w:rsidR="00154972">
              <w:rPr>
                <w:noProof/>
                <w:webHidden/>
              </w:rPr>
              <w:tab/>
            </w:r>
            <w:r w:rsidR="00154972">
              <w:rPr>
                <w:noProof/>
                <w:webHidden/>
              </w:rPr>
              <w:fldChar w:fldCharType="begin"/>
            </w:r>
            <w:r w:rsidR="00154972">
              <w:rPr>
                <w:noProof/>
                <w:webHidden/>
              </w:rPr>
              <w:instrText xml:space="preserve"> PAGEREF _Toc478417208 \h </w:instrText>
            </w:r>
            <w:r w:rsidR="00154972">
              <w:rPr>
                <w:noProof/>
                <w:webHidden/>
              </w:rPr>
            </w:r>
            <w:r w:rsidR="00154972">
              <w:rPr>
                <w:noProof/>
                <w:webHidden/>
              </w:rPr>
              <w:fldChar w:fldCharType="separate"/>
            </w:r>
            <w:r w:rsidR="00154972">
              <w:rPr>
                <w:noProof/>
                <w:webHidden/>
              </w:rPr>
              <w:t>45</w:t>
            </w:r>
            <w:r w:rsidR="00154972">
              <w:rPr>
                <w:noProof/>
                <w:webHidden/>
              </w:rPr>
              <w:fldChar w:fldCharType="end"/>
            </w:r>
          </w:hyperlink>
        </w:p>
        <w:p w:rsidR="00154972" w:rsidRDefault="009F6B4A">
          <w:pPr>
            <w:pStyle w:val="TOC1"/>
            <w:tabs>
              <w:tab w:val="right" w:leader="dot" w:pos="9016"/>
            </w:tabs>
            <w:rPr>
              <w:rFonts w:eastAsiaTheme="minorEastAsia"/>
              <w:noProof/>
              <w:lang w:eastAsia="en-AU"/>
            </w:rPr>
          </w:pPr>
          <w:hyperlink w:anchor="_Toc478417209" w:history="1">
            <w:r w:rsidR="00154972" w:rsidRPr="00A73CA3">
              <w:rPr>
                <w:rStyle w:val="Hyperlink"/>
                <w:noProof/>
              </w:rPr>
              <w:t>References</w:t>
            </w:r>
            <w:r w:rsidR="00154972">
              <w:rPr>
                <w:noProof/>
                <w:webHidden/>
              </w:rPr>
              <w:tab/>
            </w:r>
            <w:r w:rsidR="00154972">
              <w:rPr>
                <w:noProof/>
                <w:webHidden/>
              </w:rPr>
              <w:fldChar w:fldCharType="begin"/>
            </w:r>
            <w:r w:rsidR="00154972">
              <w:rPr>
                <w:noProof/>
                <w:webHidden/>
              </w:rPr>
              <w:instrText xml:space="preserve"> PAGEREF _Toc478417209 \h </w:instrText>
            </w:r>
            <w:r w:rsidR="00154972">
              <w:rPr>
                <w:noProof/>
                <w:webHidden/>
              </w:rPr>
            </w:r>
            <w:r w:rsidR="00154972">
              <w:rPr>
                <w:noProof/>
                <w:webHidden/>
              </w:rPr>
              <w:fldChar w:fldCharType="separate"/>
            </w:r>
            <w:r w:rsidR="00154972">
              <w:rPr>
                <w:noProof/>
                <w:webHidden/>
              </w:rPr>
              <w:t>46</w:t>
            </w:r>
            <w:r w:rsidR="00154972">
              <w:rPr>
                <w:noProof/>
                <w:webHidden/>
              </w:rPr>
              <w:fldChar w:fldCharType="end"/>
            </w:r>
          </w:hyperlink>
        </w:p>
        <w:p w:rsidR="0032524B" w:rsidRDefault="0032524B">
          <w:r>
            <w:rPr>
              <w:b/>
              <w:bCs/>
              <w:noProof/>
            </w:rPr>
            <w:fldChar w:fldCharType="end"/>
          </w:r>
        </w:p>
      </w:sdtContent>
    </w:sdt>
    <w:p w:rsidR="008731B2" w:rsidRDefault="008731B2" w:rsidP="008731B2">
      <w:pPr>
        <w:pStyle w:val="Heading1"/>
        <w:rPr>
          <w:color w:val="FF0000"/>
        </w:rPr>
      </w:pPr>
      <w:bookmarkStart w:id="2" w:name="_Toc478417174"/>
      <w:r>
        <w:t>List of Figures and Tables</w:t>
      </w:r>
      <w:bookmarkEnd w:id="2"/>
    </w:p>
    <w:p w:rsidR="008731B2" w:rsidRDefault="008731B2">
      <w:pPr>
        <w:pStyle w:val="TableofFigures"/>
        <w:tabs>
          <w:tab w:val="right" w:leader="dot" w:pos="9016"/>
        </w:tabs>
        <w:rPr>
          <w:rFonts w:eastAsiaTheme="minorEastAsia"/>
          <w:noProof/>
          <w:lang w:eastAsia="en-AU"/>
        </w:rPr>
      </w:pPr>
      <w:r>
        <w:rPr>
          <w:color w:val="FF0000"/>
        </w:rPr>
        <w:fldChar w:fldCharType="begin"/>
      </w:r>
      <w:r>
        <w:rPr>
          <w:color w:val="FF0000"/>
        </w:rPr>
        <w:instrText xml:space="preserve"> TOC \h \z \c "Figure" </w:instrText>
      </w:r>
      <w:r>
        <w:rPr>
          <w:color w:val="FF0000"/>
        </w:rPr>
        <w:fldChar w:fldCharType="separate"/>
      </w:r>
      <w:hyperlink w:anchor="_Toc478316519" w:history="1">
        <w:r w:rsidRPr="00F00AEC">
          <w:rPr>
            <w:rStyle w:val="Hyperlink"/>
            <w:noProof/>
          </w:rPr>
          <w:t>Figure 1 - Performance Measures</w:t>
        </w:r>
        <w:r>
          <w:rPr>
            <w:noProof/>
            <w:webHidden/>
          </w:rPr>
          <w:tab/>
        </w:r>
        <w:r>
          <w:rPr>
            <w:noProof/>
            <w:webHidden/>
          </w:rPr>
          <w:fldChar w:fldCharType="begin"/>
        </w:r>
        <w:r>
          <w:rPr>
            <w:noProof/>
            <w:webHidden/>
          </w:rPr>
          <w:instrText xml:space="preserve"> PAGEREF _Toc478316519 \h </w:instrText>
        </w:r>
        <w:r>
          <w:rPr>
            <w:noProof/>
            <w:webHidden/>
          </w:rPr>
        </w:r>
        <w:r>
          <w:rPr>
            <w:noProof/>
            <w:webHidden/>
          </w:rPr>
          <w:fldChar w:fldCharType="separate"/>
        </w:r>
        <w:r>
          <w:rPr>
            <w:noProof/>
            <w:webHidden/>
          </w:rPr>
          <w:t>5</w:t>
        </w:r>
        <w:r>
          <w:rPr>
            <w:noProof/>
            <w:webHidden/>
          </w:rPr>
          <w:fldChar w:fldCharType="end"/>
        </w:r>
      </w:hyperlink>
    </w:p>
    <w:p w:rsidR="008731B2" w:rsidRDefault="009F6B4A">
      <w:pPr>
        <w:pStyle w:val="TableofFigures"/>
        <w:tabs>
          <w:tab w:val="right" w:leader="dot" w:pos="9016"/>
        </w:tabs>
        <w:rPr>
          <w:rFonts w:eastAsiaTheme="minorEastAsia"/>
          <w:noProof/>
          <w:lang w:eastAsia="en-AU"/>
        </w:rPr>
      </w:pPr>
      <w:hyperlink w:anchor="_Toc478316520" w:history="1">
        <w:r w:rsidR="008731B2" w:rsidRPr="00F00AEC">
          <w:rPr>
            <w:rStyle w:val="Hyperlink"/>
            <w:noProof/>
          </w:rPr>
          <w:t>Figure 2</w:t>
        </w:r>
        <w:r w:rsidR="008731B2">
          <w:rPr>
            <w:rStyle w:val="Hyperlink"/>
            <w:noProof/>
          </w:rPr>
          <w:t xml:space="preserve"> </w:t>
        </w:r>
        <w:r w:rsidR="008731B2" w:rsidRPr="00F00AEC">
          <w:rPr>
            <w:rStyle w:val="Hyperlink"/>
            <w:noProof/>
          </w:rPr>
          <w:t>- Asset Class Returns 1973-2016, Log Scale</w:t>
        </w:r>
        <w:r w:rsidR="008731B2">
          <w:rPr>
            <w:noProof/>
            <w:webHidden/>
          </w:rPr>
          <w:tab/>
        </w:r>
        <w:r w:rsidR="008731B2">
          <w:rPr>
            <w:noProof/>
            <w:webHidden/>
          </w:rPr>
          <w:fldChar w:fldCharType="begin"/>
        </w:r>
        <w:r w:rsidR="008731B2">
          <w:rPr>
            <w:noProof/>
            <w:webHidden/>
          </w:rPr>
          <w:instrText xml:space="preserve"> PAGEREF _Toc478316520 \h </w:instrText>
        </w:r>
        <w:r w:rsidR="008731B2">
          <w:rPr>
            <w:noProof/>
            <w:webHidden/>
          </w:rPr>
        </w:r>
        <w:r w:rsidR="008731B2">
          <w:rPr>
            <w:noProof/>
            <w:webHidden/>
          </w:rPr>
          <w:fldChar w:fldCharType="separate"/>
        </w:r>
        <w:r w:rsidR="008731B2">
          <w:rPr>
            <w:noProof/>
            <w:webHidden/>
          </w:rPr>
          <w:t>6</w:t>
        </w:r>
        <w:r w:rsidR="008731B2">
          <w:rPr>
            <w:noProof/>
            <w:webHidden/>
          </w:rPr>
          <w:fldChar w:fldCharType="end"/>
        </w:r>
      </w:hyperlink>
    </w:p>
    <w:p w:rsidR="008731B2" w:rsidRDefault="009F6B4A">
      <w:pPr>
        <w:pStyle w:val="TableofFigures"/>
        <w:tabs>
          <w:tab w:val="right" w:leader="dot" w:pos="9016"/>
        </w:tabs>
        <w:rPr>
          <w:rFonts w:eastAsiaTheme="minorEastAsia"/>
          <w:noProof/>
          <w:lang w:eastAsia="en-AU"/>
        </w:rPr>
      </w:pPr>
      <w:hyperlink w:anchor="_Toc478316521" w:history="1">
        <w:r w:rsidR="008731B2" w:rsidRPr="00F00AEC">
          <w:rPr>
            <w:rStyle w:val="Hyperlink"/>
            <w:noProof/>
          </w:rPr>
          <w:t>Figure 3</w:t>
        </w:r>
        <w:r w:rsidR="008731B2">
          <w:rPr>
            <w:rStyle w:val="Hyperlink"/>
            <w:noProof/>
          </w:rPr>
          <w:t xml:space="preserve"> </w:t>
        </w:r>
        <w:r w:rsidR="008731B2" w:rsidRPr="00F00AEC">
          <w:rPr>
            <w:rStyle w:val="Hyperlink"/>
            <w:noProof/>
          </w:rPr>
          <w:t>- Asset Class Returns 2012-2016, Non Log Scale</w:t>
        </w:r>
        <w:r w:rsidR="008731B2">
          <w:rPr>
            <w:noProof/>
            <w:webHidden/>
          </w:rPr>
          <w:tab/>
        </w:r>
        <w:r w:rsidR="008731B2">
          <w:rPr>
            <w:noProof/>
            <w:webHidden/>
          </w:rPr>
          <w:fldChar w:fldCharType="begin"/>
        </w:r>
        <w:r w:rsidR="008731B2">
          <w:rPr>
            <w:noProof/>
            <w:webHidden/>
          </w:rPr>
          <w:instrText xml:space="preserve"> PAGEREF _Toc478316521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9F6B4A">
      <w:pPr>
        <w:pStyle w:val="TableofFigures"/>
        <w:tabs>
          <w:tab w:val="right" w:leader="dot" w:pos="9016"/>
        </w:tabs>
        <w:rPr>
          <w:rFonts w:eastAsiaTheme="minorEastAsia"/>
          <w:noProof/>
          <w:lang w:eastAsia="en-AU"/>
        </w:rPr>
      </w:pPr>
      <w:hyperlink w:anchor="_Toc478316522" w:history="1">
        <w:r w:rsidR="008731B2" w:rsidRPr="00F00AEC">
          <w:rPr>
            <w:rStyle w:val="Hyperlink"/>
            <w:noProof/>
          </w:rPr>
          <w:t>Table 4 - Asset Class Returns 1973-2012</w:t>
        </w:r>
        <w:r w:rsidR="008731B2">
          <w:rPr>
            <w:noProof/>
            <w:webHidden/>
          </w:rPr>
          <w:tab/>
        </w:r>
        <w:r w:rsidR="008731B2">
          <w:rPr>
            <w:noProof/>
            <w:webHidden/>
          </w:rPr>
          <w:fldChar w:fldCharType="begin"/>
        </w:r>
        <w:r w:rsidR="008731B2">
          <w:rPr>
            <w:noProof/>
            <w:webHidden/>
          </w:rPr>
          <w:instrText xml:space="preserve"> PAGEREF _Toc478316522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9F6B4A">
      <w:pPr>
        <w:pStyle w:val="TableofFigures"/>
        <w:tabs>
          <w:tab w:val="right" w:leader="dot" w:pos="9016"/>
        </w:tabs>
        <w:rPr>
          <w:rFonts w:eastAsiaTheme="minorEastAsia"/>
          <w:noProof/>
          <w:lang w:eastAsia="en-AU"/>
        </w:rPr>
      </w:pPr>
      <w:hyperlink w:anchor="_Toc478316523" w:history="1">
        <w:r w:rsidR="008731B2">
          <w:rPr>
            <w:rStyle w:val="Hyperlink"/>
            <w:noProof/>
          </w:rPr>
          <w:t>Table</w:t>
        </w:r>
        <w:r w:rsidR="008731B2" w:rsidRPr="00F00AEC">
          <w:rPr>
            <w:rStyle w:val="Hyperlink"/>
            <w:noProof/>
          </w:rPr>
          <w:t xml:space="preserve"> 5 - Asset Class returns 1973-2016</w:t>
        </w:r>
        <w:r w:rsidR="008731B2">
          <w:rPr>
            <w:noProof/>
            <w:webHidden/>
          </w:rPr>
          <w:tab/>
        </w:r>
        <w:r w:rsidR="008731B2">
          <w:rPr>
            <w:noProof/>
            <w:webHidden/>
          </w:rPr>
          <w:fldChar w:fldCharType="begin"/>
        </w:r>
        <w:r w:rsidR="008731B2">
          <w:rPr>
            <w:noProof/>
            <w:webHidden/>
          </w:rPr>
          <w:instrText xml:space="preserve"> PAGEREF _Toc478316523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8731B2">
      <w:pPr>
        <w:rPr>
          <w:color w:val="FF0000"/>
        </w:rPr>
      </w:pPr>
      <w:r>
        <w:rPr>
          <w:color w:val="FF0000"/>
        </w:rPr>
        <w:fldChar w:fldCharType="end"/>
      </w:r>
    </w:p>
    <w:p w:rsidR="009B63D1" w:rsidRDefault="009B63D1">
      <w:pPr>
        <w:rPr>
          <w:rFonts w:asciiTheme="majorHAnsi" w:eastAsiaTheme="majorEastAsia" w:hAnsiTheme="majorHAnsi" w:cstheme="majorBidi"/>
          <w:color w:val="2F5496" w:themeColor="accent1" w:themeShade="BF"/>
          <w:sz w:val="32"/>
          <w:szCs w:val="32"/>
        </w:rPr>
      </w:pPr>
      <w:r>
        <w:br w:type="page"/>
      </w:r>
    </w:p>
    <w:p w:rsidR="00CB465C" w:rsidRDefault="00CB465C" w:rsidP="0032524B">
      <w:pPr>
        <w:pStyle w:val="Heading1"/>
      </w:pPr>
      <w:bookmarkStart w:id="3" w:name="_Toc478417175"/>
      <w:bookmarkStart w:id="4" w:name="_Hlk478098259"/>
      <w:r>
        <w:lastRenderedPageBreak/>
        <w:t>Introduction</w:t>
      </w:r>
      <w:bookmarkEnd w:id="3"/>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5" w:name="_Toc478417176"/>
      <w:bookmarkEnd w:id="4"/>
      <w:r>
        <w:t>R</w:t>
      </w:r>
      <w:r w:rsidR="009F2229">
        <w:t xml:space="preserve">eplication of </w:t>
      </w:r>
      <w:r w:rsidR="002E6D21">
        <w:t>A Quantitative Approach to Tactical Asset Allocation</w:t>
      </w:r>
      <w:bookmarkEnd w:id="5"/>
    </w:p>
    <w:p w:rsidR="000162E5" w:rsidRDefault="000162E5" w:rsidP="0032524B">
      <w:pPr>
        <w:pStyle w:val="Heading2"/>
      </w:pPr>
      <w:bookmarkStart w:id="6" w:name="_Toc478417177"/>
      <w:r>
        <w:t>Summary of the paper</w:t>
      </w:r>
      <w:bookmarkEnd w:id="6"/>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7" w:name="_Toc478417178"/>
      <w:r w:rsidRPr="0032524B">
        <w:t>Data</w:t>
      </w:r>
      <w:r w:rsidR="0006019A">
        <w:t xml:space="preserve"> used</w:t>
      </w:r>
      <w:bookmarkEnd w:id="7"/>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indices chosen were Standard and Poor’s 500 Index (S&amp;P 500), Morgan Stanley Capital International Developed Markets Index (MSCI EAFE), United 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lastRenderedPageBreak/>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C77929" w:rsidRDefault="00C77929" w:rsidP="00F02EC8">
      <w:r>
        <w:rPr>
          <w:color w:val="FF0000"/>
        </w:rPr>
        <w:t>[put summary table similar to SA]</w:t>
      </w:r>
    </w:p>
    <w:p w:rsidR="00BC1BC6" w:rsidRDefault="00BC1BC6" w:rsidP="001B08C3">
      <w:pPr>
        <w:pStyle w:val="Heading2"/>
      </w:pPr>
      <w:bookmarkStart w:id="8" w:name="_Toc478417179"/>
      <w:r>
        <w:t xml:space="preserve">Strategy Performance </w:t>
      </w:r>
      <w:r w:rsidR="00C94395">
        <w:t>Measurement</w:t>
      </w:r>
      <w:bookmarkEnd w:id="8"/>
    </w:p>
    <w:p w:rsidR="0046328A" w:rsidRDefault="008B43C2" w:rsidP="00DA7548">
      <w:r>
        <w:t>Strategy performance</w:t>
      </w:r>
      <w:r w:rsidR="005219A2">
        <w:t xml:space="preserve"> analysis</w:t>
      </w:r>
      <w:r>
        <w:t xml:space="preserve"> is commonly done </w:t>
      </w:r>
      <w:r w:rsidR="005219A2">
        <w:t>using</w:t>
      </w:r>
      <w:r>
        <w:t xml:space="preserve"> returns that </w:t>
      </w:r>
      <w:r w:rsidR="005219A2">
        <w:t>have been</w:t>
      </w:r>
      <w:r>
        <w:t xml:space="preserve"> somehow </w:t>
      </w:r>
      <w:r w:rsidR="005219A2">
        <w:t xml:space="preserve">adjusted </w:t>
      </w:r>
      <w:r>
        <w:t>for risk. S</w:t>
      </w:r>
      <w:r w:rsidR="00BC1BC6">
        <w:t xml:space="preserve">imply looking at the return </w:t>
      </w:r>
      <w:r>
        <w:t>would be unfair</w:t>
      </w:r>
      <w:r w:rsidR="00E14656">
        <w:t xml:space="preserve"> </w:t>
      </w:r>
      <w:sdt>
        <w:sdtPr>
          <w:id w:val="-784108869"/>
          <w:citation/>
        </w:sdtPr>
        <w:sdtContent>
          <w:r w:rsidR="00E14656">
            <w:fldChar w:fldCharType="begin"/>
          </w:r>
          <w:r w:rsidR="00E14656">
            <w:instrText xml:space="preserve"> CITATION Ilm11 \l 3081 </w:instrText>
          </w:r>
          <w:r w:rsidR="00E14656">
            <w:fldChar w:fldCharType="separate"/>
          </w:r>
          <w:r w:rsidR="00330137" w:rsidRPr="00330137">
            <w:rPr>
              <w:noProof/>
            </w:rPr>
            <w:t>(Ilmanen, 2011)</w:t>
          </w:r>
          <w:r w:rsidR="00E14656">
            <w:fldChar w:fldCharType="end"/>
          </w:r>
        </w:sdtContent>
      </w:sdt>
      <w:r>
        <w:t xml:space="preserve"> as it </w:t>
      </w:r>
      <w:r w:rsidR="00BC1BC6">
        <w:t>ignores the volatility of the strategy and whether it is something that can realistically be handled by the investor</w:t>
      </w:r>
      <w:sdt>
        <w:sdtPr>
          <w:id w:val="1065376825"/>
          <w:citation/>
        </w:sdtPr>
        <w:sdtContent>
          <w:r w:rsidR="00E14656">
            <w:fldChar w:fldCharType="begin"/>
          </w:r>
          <w:r w:rsidR="00E14656">
            <w:instrText xml:space="preserve"> CITATION Cle13 \l 3081 </w:instrText>
          </w:r>
          <w:r w:rsidR="00E14656">
            <w:fldChar w:fldCharType="separate"/>
          </w:r>
          <w:r w:rsidR="00330137">
            <w:rPr>
              <w:noProof/>
            </w:rPr>
            <w:t xml:space="preserve"> </w:t>
          </w:r>
          <w:r w:rsidR="00330137" w:rsidRPr="00330137">
            <w:rPr>
              <w:noProof/>
            </w:rPr>
            <w:t>(Clenow, 2013)</w:t>
          </w:r>
          <w:r w:rsidR="00E14656">
            <w:fldChar w:fldCharType="end"/>
          </w:r>
        </w:sdtContent>
      </w:sdt>
      <w:r w:rsidR="00E14656">
        <w:t>.</w:t>
      </w:r>
      <w:r>
        <w:t xml:space="preserve"> </w:t>
      </w:r>
      <w:r w:rsidR="00BC1BC6">
        <w:t>In Faber’s Papers, he compares strategies by looking at the CAGR, Volatility, Sharpe Ratio, Max Drawdown</w:t>
      </w:r>
      <w:r w:rsidR="00DA7548">
        <w:t xml:space="preserve"> and in</w:t>
      </w:r>
      <w:r w:rsidR="00BC1BC6">
        <w:t xml:space="preserve"> some </w:t>
      </w:r>
      <w:r w:rsidR="005219A2">
        <w:t>comparisons,</w:t>
      </w:r>
      <w:r w:rsidR="00BC1BC6">
        <w:t xml:space="preserve"> he also include</w:t>
      </w:r>
      <w:r w:rsidR="00752CFC">
        <w:t>s</w:t>
      </w:r>
      <w:r w:rsidR="00BC1BC6">
        <w:t xml:space="preserve"> the percentage of positive months </w:t>
      </w:r>
      <w:r w:rsidR="00752CFC">
        <w:t xml:space="preserve">as well as the </w:t>
      </w:r>
      <w:r w:rsidR="00BC1BC6">
        <w:t>growth of $100.</w:t>
      </w:r>
      <w:r w:rsidR="00752CFC">
        <w:t xml:space="preserve"> </w:t>
      </w:r>
      <w:r w:rsidR="00DA7548">
        <w:t>Although the basic structure of all composite risk measures are the same</w:t>
      </w:r>
      <w:r w:rsidR="00E14656">
        <w:t xml:space="preserve">, </w:t>
      </w:r>
      <w:r w:rsidR="00DA7548">
        <w:t xml:space="preserve">it is recommended that a few </w:t>
      </w:r>
      <w:r w:rsidR="00E14656">
        <w:t xml:space="preserve">better </w:t>
      </w:r>
      <w:r w:rsidR="00DA7548">
        <w:t xml:space="preserve">understood measures are </w:t>
      </w:r>
      <w:r w:rsidR="00E14656">
        <w:t xml:space="preserve">selected </w:t>
      </w:r>
      <w:r w:rsidR="00DA7548">
        <w:t>to give a full</w:t>
      </w:r>
      <w:r w:rsidR="004D23D3">
        <w:t>er</w:t>
      </w:r>
      <w:r w:rsidR="00DA7548">
        <w:t xml:space="preserve"> understanding of each strategy’s performance</w:t>
      </w:r>
      <w:r w:rsidR="00E14656">
        <w:t xml:space="preserve"> and risk</w:t>
      </w:r>
      <w:sdt>
        <w:sdtPr>
          <w:id w:val="-884010931"/>
          <w:citation/>
        </w:sdtPr>
        <w:sdtContent>
          <w:r w:rsidR="00E14656">
            <w:fldChar w:fldCharType="begin"/>
          </w:r>
          <w:r w:rsidR="00E14656">
            <w:instrText xml:space="preserve"> CITATION Bac04 \l 3081 </w:instrText>
          </w:r>
          <w:r w:rsidR="00E14656">
            <w:fldChar w:fldCharType="separate"/>
          </w:r>
          <w:r w:rsidR="00330137">
            <w:rPr>
              <w:noProof/>
            </w:rPr>
            <w:t xml:space="preserve"> </w:t>
          </w:r>
          <w:r w:rsidR="00330137" w:rsidRPr="00330137">
            <w:rPr>
              <w:noProof/>
            </w:rPr>
            <w:t>(Bacon, 2004)</w:t>
          </w:r>
          <w:r w:rsidR="00E14656">
            <w:fldChar w:fldCharType="end"/>
          </w:r>
        </w:sdtContent>
      </w:sdt>
      <w:r w:rsidR="00DA7548">
        <w:t>. In this paper the following measures have been included to analyse performance:</w:t>
      </w:r>
    </w:p>
    <w:tbl>
      <w:tblPr>
        <w:tblW w:w="5000" w:type="pct"/>
        <w:tblCellMar>
          <w:left w:w="0" w:type="dxa"/>
          <w:right w:w="0" w:type="dxa"/>
        </w:tblCellMar>
        <w:tblLook w:val="04A0" w:firstRow="1" w:lastRow="0" w:firstColumn="1" w:lastColumn="0" w:noHBand="0" w:noVBand="1"/>
      </w:tblPr>
      <w:tblGrid>
        <w:gridCol w:w="3005"/>
        <w:gridCol w:w="3005"/>
        <w:gridCol w:w="3006"/>
      </w:tblGrid>
      <w:tr w:rsidR="0046328A" w:rsidRPr="0046328A" w:rsidTr="0046328A">
        <w:trPr>
          <w:trHeight w:hRule="exact" w:val="284"/>
        </w:trPr>
        <w:tc>
          <w:tcPr>
            <w:tcW w:w="1666"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CAGR</w:t>
            </w:r>
          </w:p>
        </w:tc>
        <w:tc>
          <w:tcPr>
            <w:tcW w:w="166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 in the Market</w:t>
            </w:r>
          </w:p>
        </w:tc>
        <w:tc>
          <w:tcPr>
            <w:tcW w:w="166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 / CAGR</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Volatility</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Pr>
                <w:rFonts w:ascii="Calibri" w:hAnsi="Calibri" w:cs="Calibri"/>
                <w:color w:val="000000"/>
                <w:sz w:val="20"/>
                <w:szCs w:val="20"/>
              </w:rPr>
              <w:t>% P</w:t>
            </w:r>
            <w:r w:rsidRPr="0046328A">
              <w:rPr>
                <w:rFonts w:ascii="Calibri" w:hAnsi="Calibri" w:cs="Calibri"/>
                <w:color w:val="000000"/>
                <w:sz w:val="20"/>
                <w:szCs w:val="20"/>
              </w:rPr>
              <w:t>ositive Months</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Sharpe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Skew</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Best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Sortino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Kurtosis</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Worst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MAR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Inflation CAGR</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8731B2">
            <w:pPr>
              <w:keepNext/>
              <w:jc w:val="center"/>
              <w:rPr>
                <w:rFonts w:ascii="Calibri" w:hAnsi="Calibri" w:cs="Calibri"/>
                <w:color w:val="000000"/>
                <w:sz w:val="20"/>
                <w:szCs w:val="20"/>
              </w:rPr>
            </w:pPr>
            <w:r w:rsidRPr="0046328A">
              <w:rPr>
                <w:rFonts w:ascii="Calibri" w:hAnsi="Calibri" w:cs="Calibri"/>
                <w:color w:val="000000"/>
                <w:sz w:val="20"/>
                <w:szCs w:val="20"/>
              </w:rPr>
              <w:t>Ulcer Index</w:t>
            </w:r>
          </w:p>
        </w:tc>
      </w:tr>
    </w:tbl>
    <w:p w:rsidR="008731B2" w:rsidRDefault="008731B2">
      <w:pPr>
        <w:pStyle w:val="Caption"/>
      </w:pPr>
      <w:bookmarkStart w:id="9" w:name="_Toc478316519"/>
      <w:r>
        <w:t xml:space="preserve">Figure </w:t>
      </w:r>
      <w:fldSimple w:instr=" SEQ Figure \* ARABIC ">
        <w:r>
          <w:rPr>
            <w:noProof/>
          </w:rPr>
          <w:t>1</w:t>
        </w:r>
      </w:fldSimple>
      <w:r>
        <w:t xml:space="preserve"> - Performance Measures</w:t>
      </w:r>
      <w:bookmarkEnd w:id="9"/>
    </w:p>
    <w:p w:rsidR="00304BF9" w:rsidRDefault="00BC1BC6" w:rsidP="00BC1BC6">
      <w:r>
        <w:t xml:space="preserve">The Sharpe </w:t>
      </w:r>
      <w:r w:rsidR="00330137">
        <w:t>R</w:t>
      </w:r>
      <w:r w:rsidR="00752CFC">
        <w:t>atio is one of the most common</w:t>
      </w:r>
      <w:r w:rsidR="008B43C2">
        <w:t>ly</w:t>
      </w:r>
      <w:r w:rsidR="00752CFC">
        <w:t xml:space="preserve"> used and cited</w:t>
      </w:r>
      <w:r w:rsidR="00752CFC" w:rsidRPr="00752CFC">
        <w:t xml:space="preserve"> </w:t>
      </w:r>
      <w:r w:rsidR="00752CFC">
        <w:t xml:space="preserve">measures </w:t>
      </w:r>
      <w:r>
        <w:t>to compare strategies</w:t>
      </w:r>
      <w:r w:rsidR="00752CFC">
        <w:t xml:space="preserve"> of different volatility</w:t>
      </w:r>
      <w:r w:rsidR="004D23D3">
        <w:t xml:space="preserve"> and was the only risk adjusted return metric included in Faber’s paper</w:t>
      </w:r>
      <w:r>
        <w:t>.</w:t>
      </w:r>
      <w:r w:rsidR="00752CFC">
        <w:t xml:space="preserve"> </w:t>
      </w:r>
      <w:r w:rsidR="008B43C2">
        <w:t>Originally developed by William Sharpe</w:t>
      </w:r>
      <w:r w:rsidR="00330137">
        <w:t xml:space="preserve"> in 1966</w:t>
      </w:r>
      <w:r w:rsidR="008B43C2">
        <w:t>, t</w:t>
      </w:r>
      <w:r w:rsidR="00752CFC">
        <w:t xml:space="preserve">he formula is </w:t>
      </w:r>
      <w:r w:rsidR="00226442">
        <w:t xml:space="preserve">simply </w:t>
      </w:r>
      <w:r w:rsidR="00752CFC">
        <w:t>the annualised return</w:t>
      </w:r>
      <w:r w:rsidR="00226442">
        <w:t xml:space="preserve"> less </w:t>
      </w:r>
      <w:r w:rsidR="00752CFC">
        <w:t xml:space="preserve">the risk free return </w:t>
      </w:r>
      <w:r w:rsidR="00226442">
        <w:t>divided by the volatility of the return</w:t>
      </w:r>
      <w:r w:rsidR="00752CFC">
        <w:t>.</w:t>
      </w:r>
      <w:r w:rsidR="008B43C2">
        <w:t xml:space="preserve"> One of the problems with the Sharpe Ratio is that is penalises all </w:t>
      </w:r>
      <w:r w:rsidR="002822D0">
        <w:t>volatility</w:t>
      </w:r>
      <w:r w:rsidR="008B43C2">
        <w:t xml:space="preserve"> where</w:t>
      </w:r>
      <w:r w:rsidR="005219A2">
        <w:t>as</w:t>
      </w:r>
      <w:r w:rsidR="008B43C2">
        <w:t xml:space="preserve"> in some cases</w:t>
      </w:r>
      <w:r w:rsidR="002822D0">
        <w:t>,</w:t>
      </w:r>
      <w:r w:rsidR="008B43C2">
        <w:t xml:space="preserve"> such as when the strategy is making money on the upside, the investor may actually like </w:t>
      </w:r>
      <w:r w:rsidR="002822D0">
        <w:t xml:space="preserve">and want </w:t>
      </w:r>
      <w:r w:rsidR="008B43C2">
        <w:t>volatility.</w:t>
      </w:r>
      <w:r w:rsidR="00CC60E5">
        <w:t xml:space="preserve"> </w:t>
      </w:r>
      <w:r w:rsidR="00DA7548">
        <w:t xml:space="preserve">As such the Sortino Ratio has been included as it only uses the </w:t>
      </w:r>
      <w:r w:rsidR="00C96CE8">
        <w:t>volatility</w:t>
      </w:r>
      <w:r w:rsidR="00DA7548">
        <w:t xml:space="preserve"> of negative returns</w:t>
      </w:r>
      <w:r w:rsidR="005219A2">
        <w:t xml:space="preserve"> and does not punish returns for moves in the right direction</w:t>
      </w:r>
      <w:r w:rsidR="00DA7548">
        <w:t xml:space="preserve">. The MAR ratio (or Calmar) </w:t>
      </w:r>
      <w:r w:rsidR="00C96CE8">
        <w:t>is similar to the Sharpe Ratio although it a</w:t>
      </w:r>
      <w:r w:rsidR="00DA7548">
        <w:t>djusts returns by the maximum drawdown</w:t>
      </w:r>
      <w:r w:rsidR="00851F75">
        <w:t>. It is traditional to use 3 years for the Calmar ratio, however here the MAR ratio is used which looks at the whole dataset</w:t>
      </w:r>
      <w:r w:rsidR="00DA7548">
        <w:t xml:space="preserve">. </w:t>
      </w:r>
      <w:r w:rsidR="00785B38">
        <w:t xml:space="preserve">Max Drawdown / CAGR is a very similar metric that has also been included purely for its simplicity to illustrate to investors the magnitude of drawdowns relative to an average years returns. </w:t>
      </w:r>
      <w:r w:rsidR="00C96CE8">
        <w:t xml:space="preserve">Developed by </w:t>
      </w:r>
      <w:r w:rsidR="00330137">
        <w:t xml:space="preserve">Peter </w:t>
      </w:r>
      <w:r w:rsidR="00C96CE8" w:rsidRPr="00330137">
        <w:t xml:space="preserve">Martin </w:t>
      </w:r>
      <w:r w:rsidR="00330137" w:rsidRPr="00330137">
        <w:t xml:space="preserve">in </w:t>
      </w:r>
      <w:r w:rsidR="00C96CE8" w:rsidRPr="00330137">
        <w:t>1987 t</w:t>
      </w:r>
      <w:r w:rsidR="00DA7548" w:rsidRPr="00330137">
        <w:t>he</w:t>
      </w:r>
      <w:r w:rsidR="00DA7548">
        <w:t xml:space="preserve"> </w:t>
      </w:r>
      <w:r w:rsidR="00C96CE8">
        <w:t>U</w:t>
      </w:r>
      <w:r w:rsidR="00DA7548">
        <w:t xml:space="preserve">lcer Index has been included as </w:t>
      </w:r>
      <w:r w:rsidR="00330137">
        <w:t>another measure of</w:t>
      </w:r>
      <w:r w:rsidR="00DA7548">
        <w:t xml:space="preserve"> </w:t>
      </w:r>
      <w:r w:rsidR="00330137">
        <w:t xml:space="preserve">downside risk. Suited for long only strategies, the ulcer index focuses on the </w:t>
      </w:r>
      <w:r w:rsidR="00DA7548">
        <w:t xml:space="preserve">length and </w:t>
      </w:r>
      <w:r w:rsidR="00C96CE8">
        <w:t>severity</w:t>
      </w:r>
      <w:r w:rsidR="00DA7548">
        <w:t xml:space="preserve"> of drawdowns</w:t>
      </w:r>
      <w:r w:rsidR="00C96CE8">
        <w:t xml:space="preserve"> and the worry caused to the investor</w:t>
      </w:r>
      <w:r w:rsidR="00330137">
        <w:t xml:space="preserve"> – the higher a strategies ulcer index, the more likely it will cause sleepless nights or ulcers for the investor</w:t>
      </w:r>
      <w:sdt>
        <w:sdtPr>
          <w:id w:val="-1251267084"/>
          <w:citation/>
        </w:sdtPr>
        <w:sdtContent>
          <w:r w:rsidR="00330137">
            <w:fldChar w:fldCharType="begin"/>
          </w:r>
          <w:r w:rsidR="00330137">
            <w:instrText xml:space="preserve"> CITATION Mar89 \l 3081 </w:instrText>
          </w:r>
          <w:r w:rsidR="00330137">
            <w:fldChar w:fldCharType="separate"/>
          </w:r>
          <w:r w:rsidR="00330137">
            <w:rPr>
              <w:noProof/>
            </w:rPr>
            <w:t xml:space="preserve"> </w:t>
          </w:r>
          <w:r w:rsidR="00330137" w:rsidRPr="00330137">
            <w:rPr>
              <w:noProof/>
            </w:rPr>
            <w:t>(Martin &amp; McCann, 1989)</w:t>
          </w:r>
          <w:r w:rsidR="00330137">
            <w:fldChar w:fldCharType="end"/>
          </w:r>
        </w:sdtContent>
      </w:sdt>
      <w:r w:rsidR="00330137">
        <w:t>.</w:t>
      </w:r>
      <w:r w:rsidR="00DA7548">
        <w:t xml:space="preserve"> Lastly skew and kurtosis have been included to give a more complete understanding of the return distribution. St</w:t>
      </w:r>
      <w:r w:rsidR="005219A2">
        <w:t xml:space="preserve">rategies, such as those that </w:t>
      </w:r>
      <w:r w:rsidR="00DA7548">
        <w:t xml:space="preserve">sell </w:t>
      </w:r>
      <w:r w:rsidR="005219A2">
        <w:t xml:space="preserve">out of the money put </w:t>
      </w:r>
      <w:r w:rsidR="00DA7548">
        <w:t>options</w:t>
      </w:r>
      <w:r w:rsidR="005219A2">
        <w:t>,</w:t>
      </w:r>
      <w:r w:rsidR="00DA7548">
        <w:t xml:space="preserve"> can have </w:t>
      </w:r>
      <w:r w:rsidR="005219A2">
        <w:t xml:space="preserve">very consistent stable returns with </w:t>
      </w:r>
      <w:r w:rsidR="00DA7548">
        <w:t xml:space="preserve">very respectable </w:t>
      </w:r>
      <w:r w:rsidR="005219A2">
        <w:t>S</w:t>
      </w:r>
      <w:r w:rsidR="00DA7548">
        <w:t xml:space="preserve">harpe </w:t>
      </w:r>
      <w:r w:rsidR="005219A2">
        <w:t>R</w:t>
      </w:r>
      <w:r w:rsidR="00DA7548">
        <w:t>atios</w:t>
      </w:r>
      <w:r w:rsidR="005219A2">
        <w:t xml:space="preserve">. However when markets move against them they are susceptible </w:t>
      </w:r>
      <w:r w:rsidR="00DA7548">
        <w:t>t</w:t>
      </w:r>
      <w:r w:rsidR="005219A2">
        <w:t xml:space="preserve">o rare but very large losses </w:t>
      </w:r>
      <w:r w:rsidR="00DA7548">
        <w:t xml:space="preserve">which can be identified with negative skewed fat kurtosis distributions. </w:t>
      </w:r>
    </w:p>
    <w:p w:rsidR="00DF6E5E" w:rsidRPr="00DF6E5E" w:rsidRDefault="001B08C3" w:rsidP="001B08C3">
      <w:pPr>
        <w:pStyle w:val="Heading2"/>
      </w:pPr>
      <w:bookmarkStart w:id="10" w:name="_Toc478417180"/>
      <w:r>
        <w:lastRenderedPageBreak/>
        <w:t>A</w:t>
      </w:r>
      <w:r w:rsidR="004A5810">
        <w:t xml:space="preserve">sset returns </w:t>
      </w:r>
      <w:r>
        <w:t xml:space="preserve">including data </w:t>
      </w:r>
      <w:r w:rsidR="004A5810">
        <w:t>2013-2016</w:t>
      </w:r>
      <w:bookmarkEnd w:id="10"/>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8731B2" w:rsidRDefault="004C2995" w:rsidP="008731B2">
      <w:pPr>
        <w:keepNext/>
      </w:pPr>
      <w:r>
        <w:rPr>
          <w:noProof/>
          <w:lang w:eastAsia="en-AU"/>
        </w:rPr>
        <w:drawing>
          <wp:inline distT="0" distB="0" distL="0" distR="0" wp14:anchorId="2CB28D88" wp14:editId="6ED927BD">
            <wp:extent cx="5731510" cy="35375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8731B2" w:rsidP="008731B2">
      <w:pPr>
        <w:pStyle w:val="Caption"/>
        <w:jc w:val="center"/>
      </w:pPr>
      <w:bookmarkStart w:id="11" w:name="_Toc478316520"/>
      <w:r>
        <w:t xml:space="preserve">Figure </w:t>
      </w:r>
      <w:fldSimple w:instr=" SEQ Figure \* ARABIC ">
        <w:r>
          <w:rPr>
            <w:noProof/>
          </w:rPr>
          <w:t>2</w:t>
        </w:r>
      </w:fldSimple>
      <w:r>
        <w:t>- Asset Class Returns 1973-2016, Log Scale</w:t>
      </w:r>
      <w:bookmarkEnd w:id="11"/>
    </w:p>
    <w:p w:rsidR="004D04CE" w:rsidRDefault="004D04CE" w:rsidP="001D4B36">
      <w:r>
        <w:t xml:space="preserve">It is clear to see </w:t>
      </w:r>
      <w:r w:rsidR="008A6076">
        <w:t>most assets have continued to deliver positive return</w:t>
      </w:r>
      <w:r w:rsidR="00785B38">
        <w:t>s however commodities (GSCI) have</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8731B2" w:rsidRDefault="00D74A33" w:rsidP="008731B2">
      <w:pPr>
        <w:keepNext/>
      </w:pPr>
      <w:r>
        <w:rPr>
          <w:noProof/>
          <w:lang w:eastAsia="en-AU"/>
        </w:rPr>
        <w:drawing>
          <wp:inline distT="0" distB="0" distL="0" distR="0" wp14:anchorId="7957896D" wp14:editId="431DB468">
            <wp:extent cx="5731510" cy="270869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141" cy="2711355"/>
                    </a:xfrm>
                    <a:prstGeom prst="rect">
                      <a:avLst/>
                    </a:prstGeom>
                  </pic:spPr>
                </pic:pic>
              </a:graphicData>
            </a:graphic>
          </wp:inline>
        </w:drawing>
      </w:r>
    </w:p>
    <w:p w:rsidR="004D04CE" w:rsidRDefault="008731B2" w:rsidP="008731B2">
      <w:pPr>
        <w:pStyle w:val="Caption"/>
      </w:pPr>
      <w:bookmarkStart w:id="12" w:name="_Toc478316521"/>
      <w:r>
        <w:t xml:space="preserve">Figure </w:t>
      </w:r>
      <w:fldSimple w:instr=" SEQ Figure \* ARABIC ">
        <w:r>
          <w:rPr>
            <w:noProof/>
          </w:rPr>
          <w:t>3</w:t>
        </w:r>
      </w:fldSimple>
      <w:r>
        <w:t>- Asset Class Returns 2012-2016, Non Log Scale</w:t>
      </w:r>
      <w:bookmarkEnd w:id="12"/>
    </w:p>
    <w:p w:rsidR="00B43DEC" w:rsidRDefault="00265C86" w:rsidP="00B43DEC">
      <w:r>
        <w:lastRenderedPageBreak/>
        <w:t xml:space="preserve">Replicating performance statistics over the same set of asset classes we get very similar results to Faber’s research confirming the visual check above that the data </w:t>
      </w:r>
      <w:r w:rsidR="00785B38">
        <w:t xml:space="preserve">used in both pieces of research is close to identical and </w:t>
      </w:r>
      <w:r>
        <w:t>accurate</w:t>
      </w:r>
      <w:r w:rsidR="00785B38">
        <w:t xml:space="preserve"> enough for our purposes</w:t>
      </w:r>
      <w:r>
        <w:t>.</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9.77%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9.19%</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8.12%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9.64%</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15.71%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17.60%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8.47%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18.16%</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0.26</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0.13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0.22</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-67.65%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4.33%</w:t>
            </w:r>
          </w:p>
        </w:tc>
      </w:tr>
    </w:tbl>
    <w:p w:rsidR="00785B38" w:rsidRDefault="008731B2" w:rsidP="008731B2">
      <w:pPr>
        <w:pStyle w:val="Caption"/>
      </w:pPr>
      <w:bookmarkStart w:id="13" w:name="_Toc478316522"/>
      <w:r>
        <w:t xml:space="preserve">Table </w:t>
      </w:r>
      <w:fldSimple w:instr=" SEQ Figure \* ARABIC ">
        <w:r>
          <w:rPr>
            <w:noProof/>
          </w:rPr>
          <w:t>4</w:t>
        </w:r>
      </w:fldSimple>
      <w:r>
        <w:t xml:space="preserve"> - Asset Class Returns 1973-2012</w:t>
      </w:r>
      <w:bookmarkEnd w:id="13"/>
    </w:p>
    <w:p w:rsidR="00265C86" w:rsidRDefault="002E6D21" w:rsidP="001D4B36">
      <w:r>
        <w:t>E</w:t>
      </w:r>
      <w:r w:rsidR="00785B38">
        <w:t>xtending these statistics to include 2013-2016, the biggest change in performance for any asset class is in GSCI. From extending 40 years data just another 4 years, the CAGR has significantly reduced from 8.34% to 5.85%, a 30% reduction. The depth of the most recent drawdown was captured at 80.90% aligning with Faber’s original findings that all asset classes in the last century had suffered 60-80% drawdowns. Another interesting impact of the most recent data was its effect on SP500 performance. A small 0.40% increase in returns with a similar sized reduction in volatility, resulted in its Sharpe Ratio increasing 27% from 0.26 to 0.33.</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10.18%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7.41%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5.85%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17.81%</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-80.90%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4.04%</w:t>
            </w:r>
          </w:p>
        </w:tc>
      </w:tr>
    </w:tbl>
    <w:p w:rsidR="0024540D" w:rsidRDefault="008731B2" w:rsidP="008731B2">
      <w:pPr>
        <w:pStyle w:val="Caption"/>
        <w:rPr>
          <w:rFonts w:asciiTheme="majorHAnsi" w:eastAsiaTheme="majorEastAsia" w:hAnsiTheme="majorHAnsi" w:cstheme="majorBidi"/>
          <w:color w:val="2F5496" w:themeColor="accent1" w:themeShade="BF"/>
          <w:sz w:val="26"/>
          <w:szCs w:val="26"/>
        </w:rPr>
      </w:pPr>
      <w:bookmarkStart w:id="14" w:name="_Toc478316523"/>
      <w:r>
        <w:t xml:space="preserve">Figure </w:t>
      </w:r>
      <w:fldSimple w:instr=" SEQ Figure \* ARABIC ">
        <w:r>
          <w:rPr>
            <w:noProof/>
          </w:rPr>
          <w:t>5</w:t>
        </w:r>
      </w:fldSimple>
      <w:r>
        <w:t xml:space="preserve"> - Asset Class returns 1973-2016</w:t>
      </w:r>
      <w:bookmarkEnd w:id="14"/>
    </w:p>
    <w:p w:rsidR="00534BA0" w:rsidRDefault="004A5810" w:rsidP="004A5810">
      <w:pPr>
        <w:pStyle w:val="Heading2"/>
      </w:pPr>
      <w:bookmarkStart w:id="15" w:name="_Toc478417181"/>
      <w:r>
        <w:t xml:space="preserve">Replication of </w:t>
      </w:r>
      <w:r w:rsidR="001B08C3">
        <w:t>Global Tactical Asset Allocation including</w:t>
      </w:r>
      <w:r>
        <w:t xml:space="preserve"> 2013-2016</w:t>
      </w:r>
      <w:bookmarkEnd w:id="15"/>
    </w:p>
    <w:p w:rsidR="004A5810" w:rsidRDefault="00785B38" w:rsidP="001D4B36">
      <w:r>
        <w:t xml:space="preserve">Replicating the timing strategy across all assets within the Global Tactical Asset Allocation model, we see that the </w:t>
      </w:r>
      <w:r w:rsidR="00D60F83">
        <w:t xml:space="preserve">percent of time invested </w:t>
      </w:r>
      <w:r w:rsidR="0034549A">
        <w:t>i</w:t>
      </w:r>
      <w:r w:rsidR="00D60F83">
        <w:t>ncluding the</w:t>
      </w:r>
      <w:r>
        <w:t xml:space="preserve"> most recent years has not changed significantly and remain</w:t>
      </w:r>
      <w:r w:rsidR="00857489">
        <w:t>ed at 70.81</w:t>
      </w:r>
      <w:r>
        <w:t>%.</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1.13%</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6.05%</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11.72%</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118</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22.31%</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192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36.29%</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119</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22.50%</w:t>
            </w:r>
          </w:p>
        </w:tc>
      </w:tr>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529</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rsidP="008731B2">
            <w:pPr>
              <w:keepNext/>
              <w:jc w:val="center"/>
              <w:rPr>
                <w:rFonts w:ascii="Calibri" w:hAnsi="Calibri" w:cs="Calibri"/>
                <w:color w:val="000000"/>
                <w:sz w:val="20"/>
                <w:szCs w:val="20"/>
              </w:rPr>
            </w:pPr>
            <w:r w:rsidRPr="00857489">
              <w:rPr>
                <w:rFonts w:ascii="Calibri" w:hAnsi="Calibri" w:cs="Calibri"/>
                <w:color w:val="000000"/>
                <w:sz w:val="20"/>
                <w:szCs w:val="20"/>
              </w:rPr>
              <w:t>100.00%</w:t>
            </w:r>
          </w:p>
        </w:tc>
      </w:tr>
    </w:tbl>
    <w:p w:rsidR="008731B2" w:rsidRDefault="008731B2" w:rsidP="008731B2">
      <w:pPr>
        <w:pStyle w:val="Caption"/>
      </w:pPr>
      <w:r>
        <w:t xml:space="preserve">Figure </w:t>
      </w:r>
      <w:fldSimple w:instr=" SEQ Figure \* ARABIC ">
        <w:r>
          <w:rPr>
            <w:noProof/>
          </w:rPr>
          <w:t>6</w:t>
        </w:r>
      </w:fldSimple>
      <w:r>
        <w:t xml:space="preserve"> - Percentage of Time Invested 1973-2016</w:t>
      </w:r>
    </w:p>
    <w:p w:rsidR="00785B38" w:rsidRDefault="00D74A33" w:rsidP="002F18C8">
      <w:r>
        <w:rPr>
          <w:noProof/>
          <w:lang w:eastAsia="en-AU"/>
        </w:rPr>
        <w:lastRenderedPageBreak/>
        <w:drawing>
          <wp:inline distT="0" distB="0" distL="0" distR="0" wp14:anchorId="3E38A458" wp14:editId="7073972A">
            <wp:extent cx="5731510" cy="353758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920"/>
        <w:gridCol w:w="1015"/>
        <w:gridCol w:w="1017"/>
        <w:gridCol w:w="1015"/>
        <w:gridCol w:w="1017"/>
        <w:gridCol w:w="1015"/>
        <w:gridCol w:w="1017"/>
      </w:tblGrid>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rPr>
                <w:sz w:val="20"/>
                <w:szCs w:val="20"/>
              </w:rPr>
            </w:pP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1972-200</w:t>
            </w:r>
            <w:r w:rsidR="00857489">
              <w:rPr>
                <w:rFonts w:ascii="Calibri" w:hAnsi="Calibri" w:cs="Calibri"/>
                <w:color w:val="000000"/>
                <w:sz w:val="20"/>
                <w:szCs w:val="20"/>
              </w:rPr>
              <w:t>5</w:t>
            </w: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1972-2012</w:t>
            </w:r>
          </w:p>
        </w:tc>
        <w:tc>
          <w:tcPr>
            <w:tcW w:w="1127" w:type="pct"/>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1972-2016</w:t>
            </w:r>
          </w:p>
        </w:tc>
      </w:tr>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p>
        </w:tc>
        <w:tc>
          <w:tcPr>
            <w:tcW w:w="56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r>
      <w:tr w:rsidR="0029464D" w:rsidRPr="0029464D" w:rsidTr="0029464D">
        <w:trPr>
          <w:trHeight w:hRule="exact" w:val="284"/>
        </w:trPr>
        <w:tc>
          <w:tcPr>
            <w:tcW w:w="1619" w:type="pct"/>
            <w:tcBorders>
              <w:top w:val="single" w:sz="8" w:space="0" w:color="auto"/>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11.30%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10.61%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9.84%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Volatility</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6.93%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6.87%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Skew</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Kurtosis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2.57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2.41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5.06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2.35</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Inflation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in the Market</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71.23%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70.81%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positive Months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67.76%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73.55%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66.94%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72.14%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65.60%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70.51%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Best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9.10%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Worst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-19.61%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 /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4.96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Sharpe Ratio (4.93%)</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0.72</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0.70</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Sortino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0.88</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0.44</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0.77</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0.73</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MAR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0.58</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1.21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1.03</w:t>
            </w:r>
          </w:p>
        </w:tc>
      </w:tr>
      <w:tr w:rsidR="0029464D" w:rsidRPr="0029464D" w:rsidTr="0029464D">
        <w:trPr>
          <w:trHeight w:hRule="exact" w:val="284"/>
        </w:trPr>
        <w:tc>
          <w:tcPr>
            <w:tcW w:w="161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Ulcer Index</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8.09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2.29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7.95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2.36</w:t>
            </w:r>
          </w:p>
        </w:tc>
      </w:tr>
    </w:tbl>
    <w:p w:rsidR="00386F37" w:rsidRDefault="00386F37" w:rsidP="002F18C8"/>
    <w:p w:rsidR="00857489" w:rsidRDefault="00857489" w:rsidP="008D4D00">
      <w:r>
        <w:t>R</w:t>
      </w:r>
      <w:r w:rsidR="0029464D">
        <w:t>eviewing the performance of the GTAA strategy since Faber first pub</w:t>
      </w:r>
      <w:r w:rsidR="008D4D00">
        <w:t>lished his research in 2006, it</w:t>
      </w:r>
      <w:r w:rsidR="0029464D">
        <w:t xml:space="preserve"> appears the absolute performance and risk adjusted performance </w:t>
      </w:r>
      <w:r w:rsidR="008D4D00">
        <w:t>has decreased and may be slightly below any expectations set by the original research paper.</w:t>
      </w:r>
      <w:r w:rsidR="0029464D">
        <w:t xml:space="preserve"> The CAGR for both the buy and hold strategy and the timing strategy has decreased by approximately 2% whilst volatility has remained fairly constant, or in the buy and hold strategy’s case increased. </w:t>
      </w:r>
    </w:p>
    <w:p w:rsidR="00857489" w:rsidRDefault="00857489" w:rsidP="008D4D00"/>
    <w:p w:rsidR="00857489" w:rsidRDefault="00857489" w:rsidP="008D4D00"/>
    <w:p w:rsidR="00857489" w:rsidRDefault="00857489" w:rsidP="008D4D00"/>
    <w:p w:rsidR="00857489" w:rsidRDefault="00857489" w:rsidP="008D4D00">
      <w:r>
        <w:rPr>
          <w:noProof/>
          <w:lang w:eastAsia="en-AU"/>
        </w:rPr>
        <w:lastRenderedPageBreak/>
        <w:drawing>
          <wp:inline distT="0" distB="0" distL="0" distR="0" wp14:anchorId="7593A688" wp14:editId="3C6893F6">
            <wp:extent cx="5731510" cy="35375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2F18C8" w:rsidRDefault="0029464D" w:rsidP="008D4D00">
      <w:r>
        <w:t xml:space="preserve">Investors who joined the </w:t>
      </w:r>
      <w:r w:rsidR="008D4D00">
        <w:t xml:space="preserve">timing </w:t>
      </w:r>
      <w:r>
        <w:t xml:space="preserve">strategy in 2006 would have been initially happy with the </w:t>
      </w:r>
      <w:r w:rsidR="008D4D00">
        <w:t>performance</w:t>
      </w:r>
      <w:r>
        <w:t>, as its</w:t>
      </w:r>
      <w:r w:rsidR="008D4D00">
        <w:t xml:space="preserve"> timing mechanism</w:t>
      </w:r>
      <w:r>
        <w:t xml:space="preserve"> removed their exposure </w:t>
      </w:r>
      <w:r w:rsidR="008D4D00">
        <w:t xml:space="preserve">to </w:t>
      </w:r>
      <w:r>
        <w:t xml:space="preserve">the market during the great financial crisis in 2008 </w:t>
      </w:r>
      <w:r w:rsidR="008D4D00">
        <w:t xml:space="preserve">resulting in limiting </w:t>
      </w:r>
      <w:r>
        <w:t>drawdown</w:t>
      </w:r>
      <w:r w:rsidR="008D4D00">
        <w:t>s</w:t>
      </w:r>
      <w:r>
        <w:t xml:space="preserve"> to single figures </w:t>
      </w:r>
      <w:r w:rsidR="008D4D00">
        <w:t>despite the comparison buy and hold strategy suffering</w:t>
      </w:r>
      <w:r>
        <w:t xml:space="preserve"> </w:t>
      </w:r>
      <w:r w:rsidR="008D4D00">
        <w:t>its greatest drawdown since 1972 of 46.1%</w:t>
      </w:r>
      <w:r>
        <w:t xml:space="preserve">. However since then, most equity markets have recovered and </w:t>
      </w:r>
      <w:r w:rsidR="008D4D00">
        <w:t xml:space="preserve">between 2010-2016, </w:t>
      </w:r>
      <w:r>
        <w:t xml:space="preserve">investors </w:t>
      </w:r>
      <w:r w:rsidR="00AA787B">
        <w:t xml:space="preserve">in the timing strategy </w:t>
      </w:r>
      <w:r w:rsidR="008D4D00">
        <w:t xml:space="preserve">expecting double figure absolute returns have experienced a CAGR of </w:t>
      </w:r>
      <w:r w:rsidR="00AA787B">
        <w:t xml:space="preserve">2.63% vs </w:t>
      </w:r>
      <w:r w:rsidR="008D4D00">
        <w:t>5.59% for the buy and hold. A</w:t>
      </w:r>
      <w:r>
        <w:t xml:space="preserve">s major benchmarks such as the S&amp;P and Dow Jones Indices </w:t>
      </w:r>
      <w:r w:rsidR="008D4D00">
        <w:t xml:space="preserve">make </w:t>
      </w:r>
      <w:r>
        <w:t>regular headlines for reaching new all time highs</w:t>
      </w:r>
      <w:r w:rsidR="00AA787B">
        <w:t xml:space="preserve">, </w:t>
      </w:r>
      <w:r w:rsidR="008D4D00">
        <w:t>it</w:t>
      </w:r>
      <w:r w:rsidR="00AA787B">
        <w:t>’</w:t>
      </w:r>
      <w:r w:rsidR="008D4D00">
        <w:t xml:space="preserve">s easy to imagine investors questioning their choice of strategy during these recent years. </w:t>
      </w:r>
      <w:r w:rsidR="008D4D00">
        <w:rPr>
          <w:color w:val="FF0000"/>
        </w:rPr>
        <w:t>[show rolling performance/alpha vs S&amp;P/</w:t>
      </w:r>
      <w:r w:rsidR="008D4D00" w:rsidRPr="008D4D00">
        <w:rPr>
          <w:color w:val="FF0000"/>
        </w:rPr>
        <w:t>bias]</w:t>
      </w:r>
    </w:p>
    <w:p w:rsidR="00864C76" w:rsidRDefault="00864C76" w:rsidP="00864C76">
      <w:pPr>
        <w:pStyle w:val="Heading1"/>
      </w:pPr>
      <w:bookmarkStart w:id="16" w:name="_Toc478417182"/>
      <w:r>
        <w:t>Analysis of performance</w:t>
      </w:r>
      <w:bookmarkEnd w:id="16"/>
    </w:p>
    <w:p w:rsidR="00864C76" w:rsidRDefault="00864C76" w:rsidP="00864C76">
      <w:pPr>
        <w:pStyle w:val="Heading2"/>
      </w:pPr>
      <w:bookmarkStart w:id="17" w:name="_Toc478417183"/>
      <w:r>
        <w:t>Diversification and Modern Portfolio Theory</w:t>
      </w:r>
      <w:bookmarkEnd w:id="17"/>
    </w:p>
    <w:p w:rsidR="00C36B14" w:rsidRDefault="00864C76" w:rsidP="00864C76">
      <w:r>
        <w:t>One of the core drivers of the absolute returns of the strategies within Faber’s paper is diversification. “Diversification is often spoken of as the only free lunch in investi</w:t>
      </w:r>
      <w:r w:rsidR="008731B2">
        <w:t>ng”</w:t>
      </w:r>
      <w:sdt>
        <w:sdtPr>
          <w:id w:val="-1677719557"/>
          <w:citation/>
        </w:sdtPr>
        <w:sdtContent>
          <w:r w:rsidR="008731B2">
            <w:fldChar w:fldCharType="begin"/>
          </w:r>
          <w:r w:rsidR="008731B2">
            <w:instrText xml:space="preserve">CITATION Jen16 \l 3081 </w:instrText>
          </w:r>
          <w:r w:rsidR="008731B2">
            <w:fldChar w:fldCharType="separate"/>
          </w:r>
          <w:r w:rsidR="00330137">
            <w:rPr>
              <w:noProof/>
            </w:rPr>
            <w:t xml:space="preserve"> </w:t>
          </w:r>
          <w:r w:rsidR="00330137" w:rsidRPr="00330137">
            <w:rPr>
              <w:noProof/>
            </w:rPr>
            <w:t>(Jennings &amp; Payne, 2016)</w:t>
          </w:r>
          <w:r w:rsidR="008731B2">
            <w:fldChar w:fldCharType="end"/>
          </w:r>
        </w:sdtContent>
      </w:sdt>
      <w:r w:rsidR="008731B2">
        <w:t xml:space="preserve"> and h</w:t>
      </w:r>
      <w:r>
        <w:t xml:space="preserve">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w:t>
      </w:r>
      <w:r w:rsidR="00C77929">
        <w:t xml:space="preserve">nefits of diversification aren’t </w:t>
      </w:r>
      <w:r>
        <w:t>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w:t>
      </w:r>
      <w:r w:rsidR="00C36B14">
        <w:t xml:space="preserve">s” </w:t>
      </w:r>
      <w:sdt>
        <w:sdtPr>
          <w:id w:val="-50069287"/>
          <w:citation/>
        </w:sdtPr>
        <w:sdtContent>
          <w:r w:rsidR="00C36B14">
            <w:fldChar w:fldCharType="begin"/>
          </w:r>
          <w:r w:rsidR="00C36B14">
            <w:instrText xml:space="preserve">CITATION Cle13 \p 52 \l 3081 </w:instrText>
          </w:r>
          <w:r w:rsidR="00C36B14">
            <w:fldChar w:fldCharType="separate"/>
          </w:r>
          <w:r w:rsidR="00330137" w:rsidRPr="00330137">
            <w:rPr>
              <w:noProof/>
            </w:rPr>
            <w:t>(Clenow, 2013, p. 52)</w:t>
          </w:r>
          <w:r w:rsidR="00C36B14">
            <w:fldChar w:fldCharType="end"/>
          </w:r>
        </w:sdtContent>
      </w:sdt>
      <w:r w:rsidR="00C36B14">
        <w:t>.</w:t>
      </w:r>
    </w:p>
    <w:p w:rsidR="00864C76" w:rsidRDefault="00864C76" w:rsidP="00864C76">
      <w:r>
        <w:t>In 1952 Dr Harry Markowitz published his seminal paper Portfolio Selection</w:t>
      </w:r>
      <w:sdt>
        <w:sdtPr>
          <w:id w:val="-1325192792"/>
          <w:citation/>
        </w:sdtPr>
        <w:sdtContent>
          <w:r w:rsidR="00C36B14">
            <w:fldChar w:fldCharType="begin"/>
          </w:r>
          <w:r w:rsidR="00330137">
            <w:instrText xml:space="preserve">CITATION Mar52 \n  \l 3081 </w:instrText>
          </w:r>
          <w:r w:rsidR="00C36B14">
            <w:fldChar w:fldCharType="separate"/>
          </w:r>
          <w:r w:rsidR="00330137">
            <w:rPr>
              <w:noProof/>
            </w:rPr>
            <w:t xml:space="preserve"> </w:t>
          </w:r>
          <w:r w:rsidR="00330137" w:rsidRPr="00330137">
            <w:rPr>
              <w:noProof/>
            </w:rPr>
            <w:t>(1952)</w:t>
          </w:r>
          <w:r w:rsidR="00C36B14">
            <w:fldChar w:fldCharType="end"/>
          </w:r>
        </w:sdtContent>
      </w:sdt>
      <w:r>
        <w:t xml:space="preserve"> </w:t>
      </w:r>
      <w:r w:rsidR="00C36B14">
        <w:t>i</w:t>
      </w:r>
      <w:r>
        <w:t xml:space="preserve">ntroducing practitioners to a mathematical framework that explained the well-known benefits of portfolio diversification. Stating rational investors desired returns and disliked variance, he hypothesised the E-V rule used to create efficient portfolios of diversified securities. Although admitting that diversification could not completely eliminate all variance, by using the E-V rule an investor is able to </w:t>
      </w:r>
      <w:r>
        <w:lastRenderedPageBreak/>
        <w:t>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B73A51"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an asset is moving in the</w:t>
      </w:r>
      <w:r w:rsidR="00B73A51">
        <w:t>ir</w:t>
      </w:r>
      <w:r w:rsidR="002A4269">
        <w:t xml:space="preserve"> desired direction. </w:t>
      </w:r>
      <w:r w:rsidR="00AD2AB3">
        <w:t xml:space="preserve">Modern portfolio theory manages risk through diversification however it ignores that during extreme market panic, correlations tend towards one. </w:t>
      </w:r>
    </w:p>
    <w:p w:rsidR="00B73A51" w:rsidRDefault="002A4269" w:rsidP="001C3F6A">
      <w:pPr>
        <w:rPr>
          <w:color w:val="FF0000"/>
        </w:rPr>
      </w:pPr>
      <w:r w:rsidRPr="00014CEE">
        <w:rPr>
          <w:color w:val="FF0000"/>
        </w:rPr>
        <w:t>[insert chart of correlations between 5 asset classes]</w:t>
      </w:r>
      <w:r>
        <w:rPr>
          <w:color w:val="FF0000"/>
        </w:rPr>
        <w:t xml:space="preserve">. </w:t>
      </w:r>
    </w:p>
    <w:p w:rsidR="002A4269" w:rsidRDefault="00AD2AB3" w:rsidP="001C3F6A">
      <w:r>
        <w:t>G</w:t>
      </w:r>
      <w:r w:rsidR="00864C76">
        <w:t xml:space="preserve">lobal financial market </w:t>
      </w:r>
      <w:r w:rsidR="002A4269">
        <w:t xml:space="preserve">crises </w:t>
      </w:r>
      <w:r w:rsidR="00864C76">
        <w:t>in</w:t>
      </w:r>
      <w:r>
        <w:t xml:space="preserve"> </w:t>
      </w:r>
      <w:r w:rsidR="00BE12CE">
        <w:t>the 1987 (Black Monday),</w:t>
      </w:r>
      <w:r w:rsidR="00B73A51">
        <w:t xml:space="preserve"> </w:t>
      </w:r>
      <w:r w:rsidR="00BE12CE">
        <w:t>1998 (Russian Crisis), 2001 (Dot Com Bubble and September 11) and 2008 (</w:t>
      </w:r>
      <w:r w:rsidR="00624A1A">
        <w:t>Global</w:t>
      </w:r>
      <w:r w:rsidR="00BE12CE">
        <w:t xml:space="preserve"> Financial Crisis/Subprime Mortgage Crisis)</w:t>
      </w:r>
      <w:r w:rsidR="00B83C2D">
        <w:t xml:space="preserve"> </w:t>
      </w:r>
      <w:r>
        <w:t>have shown</w:t>
      </w:r>
      <w:r w:rsidR="002A4269">
        <w:t xml:space="preserve"> that in these times </w:t>
      </w:r>
      <w:r w:rsidR="00EE015E">
        <w:t>markets tend to behave as on</w:t>
      </w:r>
      <w:r w:rsidR="004C2995">
        <w:t xml:space="preserve">e </w:t>
      </w:r>
      <w:sdt>
        <w:sdtPr>
          <w:id w:val="-951857457"/>
          <w:citation/>
        </w:sdtPr>
        <w:sdtContent>
          <w:r w:rsidR="004C2995">
            <w:fldChar w:fldCharType="begin"/>
          </w:r>
          <w:r w:rsidR="004C2995">
            <w:instrText xml:space="preserve">CITATION San10 \l 3081 </w:instrText>
          </w:r>
          <w:r w:rsidR="004C2995">
            <w:fldChar w:fldCharType="separate"/>
          </w:r>
          <w:r w:rsidR="00330137" w:rsidRPr="00330137">
            <w:rPr>
              <w:noProof/>
            </w:rPr>
            <w:t>(Sandoval Jr &amp; Franca, 2010)</w:t>
          </w:r>
          <w:r w:rsidR="004C2995">
            <w:fldChar w:fldCharType="end"/>
          </w:r>
        </w:sdtContent>
      </w:sdt>
      <w:r w:rsidR="00EE015E">
        <w:t xml:space="preserve">. In its these periods that </w:t>
      </w:r>
      <w:r w:rsidR="002A4269">
        <w:t>diversification does little to reduce downside risk</w:t>
      </w:r>
      <w:r w:rsidR="00EE015E">
        <w:t xml:space="preserve"> and </w:t>
      </w:r>
      <w:r w:rsidR="002A4269">
        <w:t xml:space="preserve">where </w:t>
      </w:r>
      <w:r w:rsidR="009D201F">
        <w:t>trend following</w:t>
      </w:r>
      <w:r w:rsidR="002A4269">
        <w:t xml:space="preserve"> </w:t>
      </w:r>
      <w:r w:rsidR="00EE015E">
        <w:t xml:space="preserve">market timing </w:t>
      </w:r>
      <w:r w:rsidR="002A4269">
        <w:t>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8E16F8">
        <w:t>supporting</w:t>
      </w:r>
      <w:r w:rsidR="002A1F38">
        <w:t xml:space="preserve">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330137" w:rsidP="002A1F38">
      <w:r>
        <w:rPr>
          <w:noProof/>
        </w:rPr>
        <w:t>Greyserman &amp; Kaminski</w:t>
      </w:r>
      <w:r w:rsidRPr="00330137">
        <w:rPr>
          <w:noProof/>
        </w:rPr>
        <w:t xml:space="preserve"> </w:t>
      </w:r>
      <w:r>
        <w:rPr>
          <w:noProof/>
        </w:rPr>
        <w:t>(</w:t>
      </w:r>
      <w:r w:rsidRPr="00330137">
        <w:rPr>
          <w:noProof/>
        </w:rPr>
        <w:t>2014)</w:t>
      </w:r>
      <w:r w:rsidR="004C2995" w:rsidRPr="004C2995">
        <w:t xml:space="preserve"> </w:t>
      </w:r>
      <w:r w:rsidR="002A1F38" w:rsidRPr="004C2995">
        <w:t>analyse the</w:t>
      </w:r>
      <w:r w:rsidR="002A1F38">
        <w:t xml:space="preserve"> performance of trend following from 1223 to 2013 using a simple trend following strategy over a unique dataset for 84 markets in equity, fixed income, foreign exchange and commodity markets. They find trends</w:t>
      </w:r>
      <w:r w:rsidR="008659D9">
        <w:t xml:space="preserve"> exist</w:t>
      </w:r>
      <w:r w:rsidR="002A1F38">
        <w:t xml:space="preserve"> in market prices due to fundamental, technical and behaviour reasons</w:t>
      </w:r>
      <w:r w:rsidR="00F00DEB">
        <w:t xml:space="preserve"> but u</w:t>
      </w:r>
      <w:r w:rsidR="002A1F38">
        <w:t>ltimate</w:t>
      </w:r>
      <w:r w:rsidR="008659D9">
        <w:t>ly conclude that trend followers</w:t>
      </w:r>
      <w:r w:rsidR="002A1F38">
        <w:t xml:space="preserve"> don’t care about the underlying reason and just want to ride the trend when</w:t>
      </w:r>
      <w:r w:rsidR="008659D9">
        <w:t>ever</w:t>
      </w:r>
      <w:r w:rsidR="002A1F38">
        <w:t xml:space="preserve"> the opportunity arrives. They find the driver of performance in a trend following </w:t>
      </w:r>
      <w:r w:rsidR="00F00DEB">
        <w:t xml:space="preserve">strategy </w:t>
      </w:r>
      <w:r w:rsidR="002A1F38">
        <w:t xml:space="preserve">to be the ability to cut losses and </w:t>
      </w:r>
      <w:r w:rsidR="008659D9">
        <w:t>take profits rather than the entry signal to get into the trend.</w:t>
      </w:r>
      <w:r>
        <w:t xml:space="preserve"> Michael Covel</w:t>
      </w:r>
      <w:r w:rsidR="00F00DEB">
        <w:t xml:space="preserve"> </w:t>
      </w:r>
      <w:sdt>
        <w:sdtPr>
          <w:id w:val="1073942360"/>
          <w:citation/>
        </w:sdtPr>
        <w:sdtContent>
          <w:r>
            <w:fldChar w:fldCharType="begin"/>
          </w:r>
          <w:r>
            <w:instrText xml:space="preserve"> CITATION Cov13 \l 3081 </w:instrText>
          </w:r>
          <w:r>
            <w:fldChar w:fldCharType="separate"/>
          </w:r>
          <w:r w:rsidRPr="00330137">
            <w:rPr>
              <w:noProof/>
            </w:rPr>
            <w:t>(Covel, 2013)</w:t>
          </w:r>
          <w:r>
            <w:fldChar w:fldCharType="end"/>
          </w:r>
        </w:sdtContent>
      </w:sdt>
      <w:r>
        <w:t xml:space="preserve"> </w:t>
      </w:r>
      <w:r w:rsidR="00F00DEB">
        <w:t>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 xml:space="preserve">avoid </w:t>
      </w:r>
      <w:r w:rsidR="00624A1A">
        <w:t>cognitive</w:t>
      </w:r>
      <w:r w:rsidR="00864C76">
        <w:t xml:space="preserve"> biases humans exhibit when making trading decisions</w:t>
      </w:r>
      <w:r w:rsidR="002A4269">
        <w:t xml:space="preserve"> such as </w:t>
      </w:r>
      <w:r w:rsidR="00CF49CD">
        <w:t>anchoring bias, loss aversion, illusion of control. B</w:t>
      </w:r>
      <w:r w:rsidR="002A4269">
        <w:t>y managing the downside, returns that are usually negative</w:t>
      </w:r>
      <w:r w:rsidR="00857489">
        <w:t xml:space="preserve"> skewed with excess </w:t>
      </w:r>
      <w:r w:rsidR="00330137">
        <w:t>kurtosis</w:t>
      </w:r>
      <w:r w:rsidR="00857489">
        <w:t xml:space="preserve"> become less negative and in some cases </w:t>
      </w:r>
      <w:r w:rsidR="002A4269">
        <w:t xml:space="preserve">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CF49CD">
        <w:t xml:space="preserve"> </w:t>
      </w:r>
      <w:r w:rsidR="00330137">
        <w:t xml:space="preserve">Faber </w:t>
      </w:r>
      <w:sdt>
        <w:sdtPr>
          <w:id w:val="-1460493381"/>
          <w:citation/>
        </w:sdtPr>
        <w:sdtContent>
          <w:r w:rsidR="00330137">
            <w:fldChar w:fldCharType="begin"/>
          </w:r>
          <w:r w:rsidR="00330137">
            <w:instrText xml:space="preserve"> CITATION Fab07 \l 3081 </w:instrText>
          </w:r>
          <w:r w:rsidR="00330137">
            <w:fldChar w:fldCharType="separate"/>
          </w:r>
          <w:r w:rsidR="00330137" w:rsidRPr="00330137">
            <w:rPr>
              <w:noProof/>
            </w:rPr>
            <w:t>(Faber, 2007)</w:t>
          </w:r>
          <w:r w:rsidR="00330137">
            <w:fldChar w:fldCharType="end"/>
          </w:r>
        </w:sdtContent>
      </w:sdt>
      <w:r w:rsidR="005A3F0E" w:rsidRPr="00390B14">
        <w:t xml:space="preserve">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lastRenderedPageBreak/>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drawdowns to the point that the investor only experience one down year since 1973, with that being -1%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18" w:name="_Toc478417184"/>
      <w:r>
        <w:t>Recent Performance and the Financialisation of Commodities</w:t>
      </w:r>
      <w:bookmarkEnd w:id="18"/>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w:t>
      </w:r>
      <w:r w:rsidR="00B4551F">
        <w:t>3.61</w:t>
      </w:r>
      <w:r>
        <w:t>% compared to the 11.</w:t>
      </w:r>
      <w:r w:rsidR="00B4551F">
        <w:t>30</w:t>
      </w:r>
      <w:r>
        <w:t>% seen between 1973-200</w:t>
      </w:r>
      <w:r w:rsidR="00B4551F">
        <w:t>5</w:t>
      </w:r>
      <w:r>
        <w:t>. Volatility also increased from 8.9</w:t>
      </w:r>
      <w:r w:rsidR="00B4551F">
        <w:t>8</w:t>
      </w:r>
      <w:r>
        <w:t>% to 1</w:t>
      </w:r>
      <w:r w:rsidR="00B4551F">
        <w:t>2.74</w:t>
      </w:r>
      <w:r>
        <w:t xml:space="preserve">% and perhaps most painfully felt by investors, the model had its biggest drawdown ever experiencing a drawdown of 46.1% which was more than double compared to the previous periods max drawdown of 19.61%. The </w:t>
      </w:r>
      <w:r w:rsidR="002A4269">
        <w:t>S</w:t>
      </w:r>
      <w:r w:rsidR="00B4551F">
        <w:t>harpe ratio from 1973-2005</w:t>
      </w:r>
      <w:r>
        <w:t xml:space="preserve"> of 0.5</w:t>
      </w:r>
      <w:r w:rsidR="00B4551F">
        <w:t>2 dropped to 0.20</w:t>
      </w:r>
      <w:r>
        <w:t xml:space="preserve"> in the following 10 years.</w:t>
      </w:r>
      <w:r w:rsidR="00B4551F">
        <w:t xml:space="preserve"> Did </w:t>
      </w:r>
      <w:r w:rsidR="00330137">
        <w:t>Faber suffer from hindsight</w:t>
      </w:r>
      <w:r w:rsidR="00B4551F">
        <w:t xml:space="preserve"> bias selected his equal weighted buy and hold portfolio </w:t>
      </w:r>
      <w:r>
        <w:t xml:space="preserve">or can this </w:t>
      </w:r>
      <w:r w:rsidR="00B4551F">
        <w:t xml:space="preserve">drop in </w:t>
      </w:r>
      <w:r w:rsidR="008659D9">
        <w:t xml:space="preserve">performance of the last </w:t>
      </w:r>
      <w:r w:rsidR="00B4551F">
        <w:t>10 years be explained elsewhere?</w:t>
      </w:r>
    </w:p>
    <w:p w:rsidR="00864C76" w:rsidRDefault="00864C76" w:rsidP="00864C76">
      <w:r>
        <w:t>Reviewing the individual returns of each asset clas</w:t>
      </w:r>
      <w:r w:rsidR="002A4269">
        <w:t>s</w:t>
      </w:r>
      <w:r w:rsidR="00B4551F">
        <w:t xml:space="preserve"> between 2006-2016</w:t>
      </w:r>
      <w:r w:rsidR="002A4269">
        <w:t xml:space="preserve">, it’s clear that commodities </w:t>
      </w:r>
      <w:r>
        <w:t xml:space="preserve">were the worst performing asset class and </w:t>
      </w:r>
      <w:r w:rsidR="00B4551F">
        <w:t>were largely responsible for dragging</w:t>
      </w:r>
      <w:r>
        <w:t xml:space="preserve"> the overall performance of the </w:t>
      </w:r>
      <w:r w:rsidR="00B4551F">
        <w:t xml:space="preserve">diversified buy and hold </w:t>
      </w:r>
      <w:r>
        <w:t>portfolio down. Since 2006,</w:t>
      </w:r>
      <w:r w:rsidR="00A077DA">
        <w:t xml:space="preserve"> commodities have a CARG of -8.47</w:t>
      </w:r>
      <w:r>
        <w:t>%, volatility higher than all other asset classes</w:t>
      </w:r>
      <w:r w:rsidR="002A4269">
        <w:t xml:space="preserve"> of 23.</w:t>
      </w:r>
      <w:r w:rsidR="00A077DA">
        <w:t>33</w:t>
      </w:r>
      <w:r w:rsidR="002A4269">
        <w:t>%</w:t>
      </w:r>
      <w:r>
        <w:t>, as well as a max drawdown of 80.9% in a period where equity and bond returns have continued to show a positive CAGR despite also suffering</w:t>
      </w:r>
      <w:r w:rsidR="00A077DA">
        <w:t xml:space="preserve"> significant</w:t>
      </w:r>
      <w:r>
        <w:t xml:space="preserve"> drawdowns in </w:t>
      </w:r>
      <w:r w:rsidR="00A077DA">
        <w:t xml:space="preserve">the global crisis of </w:t>
      </w:r>
      <w:r>
        <w:t>2008 where they lost over half their value.</w:t>
      </w:r>
    </w:p>
    <w:p w:rsidR="00A14593" w:rsidRDefault="00B4551F" w:rsidP="00864C76">
      <w:r>
        <w:rPr>
          <w:noProof/>
          <w:lang w:eastAsia="en-AU"/>
        </w:rPr>
        <w:drawing>
          <wp:inline distT="0" distB="0" distL="0" distR="0" wp14:anchorId="2980F3FC" wp14:editId="58FCB1F0">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F7561" w:rsidRDefault="00864C76" w:rsidP="00864C76">
      <w:r>
        <w:lastRenderedPageBreak/>
        <w:t xml:space="preserve">With hindsight if commodities were excluded from the </w:t>
      </w:r>
      <w:r w:rsidR="001319D7">
        <w:t xml:space="preserve">buy and hold </w:t>
      </w:r>
      <w:r>
        <w:t>portfolio</w:t>
      </w:r>
      <w:r w:rsidR="001319D7">
        <w:t xml:space="preserve"> over the last 10 years</w:t>
      </w:r>
      <w:r>
        <w:t xml:space="preserve">, </w:t>
      </w:r>
      <w:r w:rsidR="001319D7">
        <w:t xml:space="preserve">absolute and risk adjusted </w:t>
      </w:r>
      <w:r>
        <w:t>returns would have been considerably better</w:t>
      </w:r>
      <w:r w:rsidR="001319D7">
        <w:t xml:space="preserve"> for both the buy and hold strategy and the GTAA timing strategy</w:t>
      </w:r>
      <w:r w:rsidR="000F7561">
        <w:t>.</w:t>
      </w:r>
    </w:p>
    <w:tbl>
      <w:tblPr>
        <w:tblW w:w="5000" w:type="pct"/>
        <w:tblCellMar>
          <w:left w:w="0" w:type="dxa"/>
          <w:right w:w="0" w:type="dxa"/>
        </w:tblCellMar>
        <w:tblLook w:val="04A0" w:firstRow="1" w:lastRow="0" w:firstColumn="1" w:lastColumn="0" w:noHBand="0" w:noVBand="1"/>
      </w:tblPr>
      <w:tblGrid>
        <w:gridCol w:w="3083"/>
        <w:gridCol w:w="1480"/>
        <w:gridCol w:w="1481"/>
        <w:gridCol w:w="1481"/>
        <w:gridCol w:w="1481"/>
      </w:tblGrid>
      <w:tr w:rsid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 </w:t>
            </w:r>
            <w:r>
              <w:rPr>
                <w:rFonts w:cstheme="minorHAnsi"/>
                <w:color w:val="000000"/>
                <w:sz w:val="20"/>
                <w:szCs w:val="20"/>
              </w:rPr>
              <w:t>2006-2016</w:t>
            </w:r>
          </w:p>
        </w:tc>
        <w:tc>
          <w:tcPr>
            <w:tcW w:w="82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 ex GSCI</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 ex GSCI</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4.84%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Volatility</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6.49%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Skew</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-1.39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-0.21</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Kurtosis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4.29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Inflation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in the Market</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66.32%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71.05%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positive Months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59.40%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63.16%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Best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5.40%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Worst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-19.34%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-6.87%</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-17.12%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-5.28%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-46.10%</w:t>
            </w:r>
          </w:p>
        </w:tc>
        <w:tc>
          <w:tcPr>
            <w:tcW w:w="822" w:type="pct"/>
            <w:tcBorders>
              <w:top w:val="nil"/>
              <w:left w:val="single" w:sz="8" w:space="0" w:color="auto"/>
              <w:bottom w:val="nil"/>
              <w:right w:val="single" w:sz="8" w:space="0" w:color="auto"/>
            </w:tcBorders>
            <w:shd w:val="clear" w:color="000000" w:fill="76C68C"/>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single" w:sz="8" w:space="0" w:color="auto"/>
              <w:bottom w:val="nil"/>
              <w:right w:val="single" w:sz="8" w:space="0" w:color="auto"/>
            </w:tcBorders>
            <w:shd w:val="clear" w:color="000000" w:fill="F87D7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-43.39%</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-6.84%</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 /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Sharpe Ratio (4.93%)</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c>
          <w:tcPr>
            <w:tcW w:w="822" w:type="pct"/>
            <w:tcBorders>
              <w:top w:val="nil"/>
              <w:left w:val="single" w:sz="8" w:space="0" w:color="auto"/>
              <w:bottom w:val="nil"/>
              <w:right w:val="single" w:sz="8" w:space="0" w:color="auto"/>
            </w:tcBorders>
            <w:shd w:val="clear" w:color="000000" w:fill="D3EBD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0.57</w:t>
            </w:r>
          </w:p>
        </w:tc>
        <w:tc>
          <w:tcPr>
            <w:tcW w:w="822" w:type="pct"/>
            <w:tcBorders>
              <w:top w:val="nil"/>
              <w:left w:val="single" w:sz="8" w:space="0" w:color="auto"/>
              <w:bottom w:val="nil"/>
              <w:right w:val="single" w:sz="8" w:space="0" w:color="auto"/>
            </w:tcBorders>
            <w:shd w:val="clear" w:color="000000" w:fill="FAD4D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0.41</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0.79</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Sortino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0.13</w:t>
            </w:r>
          </w:p>
        </w:tc>
        <w:tc>
          <w:tcPr>
            <w:tcW w:w="822" w:type="pct"/>
            <w:tcBorders>
              <w:top w:val="nil"/>
              <w:left w:val="single" w:sz="8" w:space="0" w:color="auto"/>
              <w:bottom w:val="nil"/>
              <w:right w:val="single" w:sz="8" w:space="0" w:color="auto"/>
            </w:tcBorders>
            <w:shd w:val="clear" w:color="000000" w:fill="CFEAD8"/>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0.34</w:t>
            </w:r>
          </w:p>
        </w:tc>
        <w:tc>
          <w:tcPr>
            <w:tcW w:w="822" w:type="pct"/>
            <w:tcBorders>
              <w:top w:val="nil"/>
              <w:left w:val="single" w:sz="8" w:space="0" w:color="auto"/>
              <w:bottom w:val="nil"/>
              <w:right w:val="single" w:sz="8" w:space="0" w:color="auto"/>
            </w:tcBorders>
            <w:shd w:val="clear" w:color="000000" w:fill="FAC4C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0.23</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MAR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0.08</w:t>
            </w:r>
          </w:p>
        </w:tc>
        <w:tc>
          <w:tcPr>
            <w:tcW w:w="822" w:type="pct"/>
            <w:tcBorders>
              <w:top w:val="nil"/>
              <w:left w:val="single" w:sz="8" w:space="0" w:color="auto"/>
              <w:bottom w:val="nil"/>
              <w:right w:val="single" w:sz="8" w:space="0" w:color="auto"/>
            </w:tcBorders>
            <w:shd w:val="clear" w:color="000000" w:fill="CCE9D5"/>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0.52</w:t>
            </w:r>
          </w:p>
        </w:tc>
        <w:tc>
          <w:tcPr>
            <w:tcW w:w="82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0.15</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0.93</w:t>
            </w:r>
          </w:p>
        </w:tc>
      </w:tr>
      <w:tr w:rsid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Ulcer Index</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14.23</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3.00</w:t>
            </w:r>
          </w:p>
        </w:tc>
      </w:tr>
    </w:tbl>
    <w:p w:rsidR="001319D7" w:rsidRDefault="001319D7" w:rsidP="00864C76"/>
    <w:p w:rsidR="001319D7" w:rsidRDefault="001319D7" w:rsidP="00864C76">
      <w:r>
        <w:t>Whereas between 1972 and 2006, commodities definitely added diversifying value to the asset allocation.</w:t>
      </w:r>
    </w:p>
    <w:tbl>
      <w:tblPr>
        <w:tblW w:w="5000" w:type="pct"/>
        <w:tblCellMar>
          <w:left w:w="0" w:type="dxa"/>
          <w:right w:w="0" w:type="dxa"/>
        </w:tblCellMar>
        <w:tblLook w:val="04A0" w:firstRow="1" w:lastRow="0" w:firstColumn="1" w:lastColumn="0" w:noHBand="0" w:noVBand="1"/>
      </w:tblPr>
      <w:tblGrid>
        <w:gridCol w:w="3083"/>
        <w:gridCol w:w="1110"/>
        <w:gridCol w:w="1110"/>
        <w:gridCol w:w="2028"/>
        <w:gridCol w:w="1675"/>
      </w:tblGrid>
      <w:tr w:rsidR="001319D7" w:rsidRP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 </w:t>
            </w:r>
          </w:p>
        </w:tc>
        <w:tc>
          <w:tcPr>
            <w:tcW w:w="61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w:t>
            </w:r>
          </w:p>
        </w:tc>
        <w:tc>
          <w:tcPr>
            <w:tcW w:w="61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w:t>
            </w:r>
          </w:p>
        </w:tc>
        <w:tc>
          <w:tcPr>
            <w:tcW w:w="112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 ex GSCI</w:t>
            </w:r>
          </w:p>
        </w:tc>
        <w:tc>
          <w:tcPr>
            <w:tcW w:w="93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 ex GSCI</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11.30%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10.73%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11.15%</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Volatility</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8.98%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6.93%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10.33%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7.43%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Skew</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-0.45</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-0.25</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Kurtosis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1.48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2.57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2.39</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3.08</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Inflation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in the Market</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22.22%</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23.80%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positive Months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67.76%</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73.55%</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68.01%</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75.06%</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Best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9.10%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15.28%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8.10%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Worst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-9.29%</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-11.03%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-8.61%</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w:t>
            </w:r>
          </w:p>
        </w:tc>
        <w:tc>
          <w:tcPr>
            <w:tcW w:w="616" w:type="pct"/>
            <w:tcBorders>
              <w:top w:val="nil"/>
              <w:left w:val="single" w:sz="8" w:space="0" w:color="auto"/>
              <w:bottom w:val="nil"/>
              <w:right w:val="single" w:sz="8" w:space="0" w:color="auto"/>
            </w:tcBorders>
            <w:shd w:val="clear" w:color="000000" w:fill="FAD6D8"/>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-19.61%</w:t>
            </w:r>
          </w:p>
        </w:tc>
        <w:tc>
          <w:tcPr>
            <w:tcW w:w="616" w:type="pct"/>
            <w:tcBorders>
              <w:top w:val="nil"/>
              <w:left w:val="single" w:sz="8" w:space="0" w:color="auto"/>
              <w:bottom w:val="nil"/>
              <w:right w:val="single" w:sz="8" w:space="0" w:color="auto"/>
            </w:tcBorders>
            <w:shd w:val="clear" w:color="000000" w:fill="6DC28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-9.56%</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-34.09%</w:t>
            </w:r>
          </w:p>
        </w:tc>
        <w:tc>
          <w:tcPr>
            <w:tcW w:w="931"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 /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1.74</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3.18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Sharpe Ratio (4.93%)</w:t>
            </w:r>
          </w:p>
        </w:tc>
        <w:tc>
          <w:tcPr>
            <w:tcW w:w="616" w:type="pct"/>
            <w:tcBorders>
              <w:top w:val="nil"/>
              <w:left w:val="single" w:sz="8" w:space="0" w:color="auto"/>
              <w:bottom w:val="nil"/>
              <w:right w:val="single" w:sz="8" w:space="0" w:color="auto"/>
            </w:tcBorders>
            <w:shd w:val="clear" w:color="000000" w:fill="FAD1D3"/>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0.72</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0.41</w:t>
            </w:r>
          </w:p>
        </w:tc>
        <w:tc>
          <w:tcPr>
            <w:tcW w:w="931" w:type="pct"/>
            <w:tcBorders>
              <w:top w:val="nil"/>
              <w:left w:val="single" w:sz="8" w:space="0" w:color="auto"/>
              <w:bottom w:val="nil"/>
              <w:right w:val="single" w:sz="8" w:space="0" w:color="auto"/>
            </w:tcBorders>
            <w:shd w:val="clear" w:color="000000" w:fill="CAE8D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Sortino Ratio</w:t>
            </w:r>
          </w:p>
        </w:tc>
        <w:tc>
          <w:tcPr>
            <w:tcW w:w="616" w:type="pct"/>
            <w:tcBorders>
              <w:top w:val="nil"/>
              <w:left w:val="single" w:sz="8" w:space="0" w:color="auto"/>
              <w:bottom w:val="nil"/>
              <w:right w:val="single" w:sz="8" w:space="0" w:color="auto"/>
            </w:tcBorders>
            <w:shd w:val="clear" w:color="000000" w:fill="FACACC"/>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0.88</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0.51</w:t>
            </w:r>
          </w:p>
        </w:tc>
        <w:tc>
          <w:tcPr>
            <w:tcW w:w="931" w:type="pct"/>
            <w:tcBorders>
              <w:top w:val="nil"/>
              <w:left w:val="single" w:sz="8" w:space="0" w:color="auto"/>
              <w:bottom w:val="nil"/>
              <w:right w:val="single" w:sz="8" w:space="0" w:color="auto"/>
            </w:tcBorders>
            <w:shd w:val="clear" w:color="000000" w:fill="CEEAD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0.74</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MAR Ratio</w:t>
            </w:r>
          </w:p>
        </w:tc>
        <w:tc>
          <w:tcPr>
            <w:tcW w:w="616" w:type="pct"/>
            <w:tcBorders>
              <w:top w:val="nil"/>
              <w:left w:val="single" w:sz="8" w:space="0" w:color="auto"/>
              <w:bottom w:val="nil"/>
              <w:right w:val="single" w:sz="8" w:space="0" w:color="auto"/>
            </w:tcBorders>
            <w:shd w:val="clear" w:color="000000" w:fill="F9ABA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0.58</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0.31</w:t>
            </w:r>
          </w:p>
        </w:tc>
        <w:tc>
          <w:tcPr>
            <w:tcW w:w="931"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r>
      <w:tr w:rsidR="001319D7" w:rsidRP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Ulcer Index</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4.05</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1.73</w:t>
            </w:r>
          </w:p>
        </w:tc>
        <w:tc>
          <w:tcPr>
            <w:tcW w:w="112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6.55</w:t>
            </w:r>
          </w:p>
        </w:tc>
        <w:tc>
          <w:tcPr>
            <w:tcW w:w="93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2.25</w:t>
            </w:r>
          </w:p>
        </w:tc>
      </w:tr>
    </w:tbl>
    <w:p w:rsidR="001319D7" w:rsidRDefault="001319D7" w:rsidP="00864C76"/>
    <w:p w:rsidR="000F3414" w:rsidRDefault="00864C76" w:rsidP="00864C76">
      <w:pPr>
        <w:rPr>
          <w:color w:val="FF0000"/>
        </w:rPr>
      </w:pPr>
      <w:r>
        <w:t>It</w:t>
      </w:r>
      <w:r w:rsidR="00F21B8A">
        <w:t>’</w:t>
      </w:r>
      <w:r>
        <w:t xml:space="preserve">s not the first financial crash in </w:t>
      </w:r>
      <w:r w:rsidR="00A22D0F">
        <w:t>this period y</w:t>
      </w:r>
      <w:r>
        <w:t xml:space="preserve">et performance numbers were much more effected by </w:t>
      </w:r>
      <w:r w:rsidR="00F21B8A">
        <w:t>the performance of commodities</w:t>
      </w:r>
      <w:r w:rsidR="001319D7">
        <w:t xml:space="preserve"> over the last 10 years</w:t>
      </w:r>
      <w:r>
        <w:t>. Why</w:t>
      </w:r>
      <w:r w:rsidR="00F21B8A">
        <w:t>? I</w:t>
      </w:r>
      <w:r>
        <w:t>t</w:t>
      </w:r>
      <w:r w:rsidR="00F21B8A">
        <w:t xml:space="preserve"> appears </w:t>
      </w:r>
      <w:r w:rsidR="00A22D0F">
        <w:t xml:space="preserve">commodity </w:t>
      </w:r>
      <w:r w:rsidR="000F7561">
        <w:t>correlation to SP500, EAFE and NAREIT increased to the highest levels they have been since 1972.</w:t>
      </w:r>
    </w:p>
    <w:p w:rsidR="000F3414" w:rsidRDefault="00A077DA" w:rsidP="00864C76">
      <w:r>
        <w:rPr>
          <w:noProof/>
          <w:lang w:eastAsia="en-AU"/>
        </w:rPr>
        <w:lastRenderedPageBreak/>
        <w:drawing>
          <wp:inline distT="0" distB="0" distL="0" distR="0" wp14:anchorId="6158B54D" wp14:editId="454A9B6C">
            <wp:extent cx="5731510" cy="3537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A popular topic </w:t>
      </w:r>
      <w:r w:rsidR="000F3414">
        <w:t xml:space="preserve">in research </w:t>
      </w:r>
      <w:r>
        <w:t>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Two years before Faber first released his first working version,</w:t>
      </w:r>
      <w:r w:rsidR="00330137">
        <w:t xml:space="preserve"> </w:t>
      </w:r>
      <w:sdt>
        <w:sdtPr>
          <w:id w:val="1496532509"/>
          <w:citation/>
        </w:sdtPr>
        <w:sdtContent>
          <w:r w:rsidR="00330137">
            <w:fldChar w:fldCharType="begin"/>
          </w:r>
          <w:r w:rsidR="00330137">
            <w:instrText xml:space="preserve"> CITATION Gor04 \l 3081 </w:instrText>
          </w:r>
          <w:r w:rsidR="00330137">
            <w:fldChar w:fldCharType="separate"/>
          </w:r>
          <w:r w:rsidR="00330137" w:rsidRPr="00330137">
            <w:rPr>
              <w:noProof/>
            </w:rPr>
            <w:t>(Gorton &amp; Rouwenhorst, 2004)</w:t>
          </w:r>
          <w:r w:rsidR="00330137">
            <w:fldChar w:fldCharType="end"/>
          </w:r>
        </w:sdtContent>
      </w:sdt>
      <w:r>
        <w:t xml:space="preserve"> released a working paper of Facts and Fantasies </w:t>
      </w:r>
      <w:r w:rsidR="00330137">
        <w:t xml:space="preserve">About Commodity Futures </w:t>
      </w:r>
      <w:r>
        <w:t xml:space="preserve">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w:t>
      </w:r>
      <w:r w:rsidRPr="00330137">
        <w:t>2006 Ibbotson Associates</w:t>
      </w:r>
      <w:r>
        <w:t xml:space="preserve"> released a report for PIMCO titled Strategic Asset Allocation and Commodities </w:t>
      </w:r>
      <w:sdt>
        <w:sdtPr>
          <w:id w:val="379602390"/>
          <w:citation/>
        </w:sdtPr>
        <w:sdtContent>
          <w:r w:rsidR="00330137">
            <w:fldChar w:fldCharType="begin"/>
          </w:r>
          <w:r w:rsidR="00330137">
            <w:instrText xml:space="preserve"> CITATION Ibb06 \l 3081 </w:instrText>
          </w:r>
          <w:r w:rsidR="00330137">
            <w:fldChar w:fldCharType="separate"/>
          </w:r>
          <w:r w:rsidR="00330137" w:rsidRPr="00330137">
            <w:rPr>
              <w:noProof/>
            </w:rPr>
            <w:t>(Ibbotson Associates, 2006)</w:t>
          </w:r>
          <w:r w:rsidR="00330137">
            <w:fldChar w:fldCharType="end"/>
          </w:r>
        </w:sdtContent>
      </w:sdt>
      <w:r>
        <w:t xml:space="preserve">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w:t>
      </w:r>
      <w:r w:rsidR="00330137">
        <w:t xml:space="preserve"> </w:t>
      </w:r>
      <w:sdt>
        <w:sdtPr>
          <w:id w:val="-1326816248"/>
          <w:citation/>
        </w:sdtPr>
        <w:sdtContent>
          <w:r w:rsidR="00330137">
            <w:fldChar w:fldCharType="begin"/>
          </w:r>
          <w:r w:rsidR="00330137">
            <w:instrText xml:space="preserve"> CITATION Erb06 \l 3081 </w:instrText>
          </w:r>
          <w:r w:rsidR="00330137">
            <w:fldChar w:fldCharType="separate"/>
          </w:r>
          <w:r w:rsidR="00330137" w:rsidRPr="00330137">
            <w:rPr>
              <w:noProof/>
            </w:rPr>
            <w:t>(Erb &amp; Harvey, 2006)</w:t>
          </w:r>
          <w:r w:rsidR="00330137">
            <w:fldChar w:fldCharType="end"/>
          </w:r>
        </w:sdtContent>
      </w:sdt>
      <w:r>
        <w:t xml:space="preserve"> drove increased long only investment into commodities financial instruments by managers looking to improve risk adj</w:t>
      </w:r>
      <w:r w:rsidR="008659D9">
        <w:t xml:space="preserve">usted portfolio performance. </w:t>
      </w:r>
      <w:r w:rsidR="00A00F10">
        <w:t>H</w:t>
      </w:r>
      <w:r>
        <w:t xml:space="preserve">undreds of billions of dollars </w:t>
      </w:r>
      <w:r w:rsidRPr="000F3414">
        <w:rPr>
          <w:highlight w:val="yellow"/>
        </w:rPr>
        <w:t>(Irwin and Sanders, 2011 and Bhardwaj, Gorton and Rouwenhorst, 2014)</w:t>
      </w:r>
      <w:r>
        <w:t xml:space="preserve"> </w:t>
      </w:r>
      <w:r w:rsidR="00A00F10">
        <w:t xml:space="preserve">of </w:t>
      </w:r>
      <w:r>
        <w:t>inflo</w:t>
      </w:r>
      <w:r w:rsidR="00A00F10">
        <w:t xml:space="preserve">ws into commodity investments created structural changes later </w:t>
      </w:r>
      <w:r w:rsidR="00A14593">
        <w:t>termed</w:t>
      </w:r>
      <w:r w:rsidR="00A00F10">
        <w:t xml:space="preserve"> financialisation by </w:t>
      </w:r>
      <w:r w:rsidR="00A00F10" w:rsidRPr="000F3414">
        <w:rPr>
          <w:highlight w:val="yellow"/>
        </w:rPr>
        <w:t>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w:t>
      </w:r>
      <w:r w:rsidR="00864C76">
        <w:lastRenderedPageBreak/>
        <w:t>correlations among commodities and other asset classes</w:t>
      </w:r>
      <w:r w:rsidR="00864C76" w:rsidRPr="000F3414">
        <w:rPr>
          <w:highlight w:val="yellow"/>
        </w:rPr>
        <w:t>. Zaremba (2015)</w:t>
      </w:r>
      <w:r w:rsidR="00864C76">
        <w:t xml:space="preserve">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w:t>
      </w:r>
      <w:r w:rsidR="00F21B8A" w:rsidRPr="000F3414">
        <w:rPr>
          <w:highlight w:val="yellow"/>
        </w:rPr>
        <w:t>[Silvennoinen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A22D0F"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w:t>
      </w:r>
      <w:r w:rsidR="000F3414">
        <w:t xml:space="preserve">recent </w:t>
      </w:r>
      <w:r>
        <w:t xml:space="preserve">research </w:t>
      </w:r>
      <w:r w:rsidRPr="000F3414">
        <w:rPr>
          <w:highlight w:val="yellow"/>
        </w:rPr>
        <w:t>[Bhardwaj, Gorton, Rouwenhorst 2015, Levine, Ooi and Richardson 2016]</w:t>
      </w:r>
      <w:r>
        <w:t xml:space="preserve">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864C76" w:rsidRDefault="009352E6" w:rsidP="00864C76">
      <w:r>
        <w:t xml:space="preserve">On the other hand, many </w:t>
      </w:r>
      <w:r w:rsidRPr="000F3414">
        <w:rPr>
          <w:highlight w:val="yellow"/>
        </w:rPr>
        <w:t>(</w:t>
      </w:r>
      <w:r w:rsidR="00864C76" w:rsidRPr="000F3414">
        <w:rPr>
          <w:highlight w:val="yellow"/>
        </w:rPr>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w:t>
      </w:r>
      <w:r w:rsidR="00864C76" w:rsidRPr="000F3414">
        <w:rPr>
          <w:highlight w:val="yellow"/>
        </w:rPr>
        <w:t>Antonacci (2017)</w:t>
      </w:r>
      <w:r w:rsidR="00864C76">
        <w:t xml:space="preserve"> also argues that due to the nature of commodity markets changing from financialisation, the papers using data before this period succumb to aggregation bias and will have less forecasting power for the period following financialisation. </w:t>
      </w:r>
    </w:p>
    <w:p w:rsidR="00A22D0F" w:rsidRDefault="00864C76" w:rsidP="000F3414">
      <w:r>
        <w:t xml:space="preserve">Without being able to predict the future and prove which argument is correct, it’s perhaps now a good time to review the performance of the timing model between 2006-2016. Like the buy and hold portfolio, returns were less </w:t>
      </w:r>
      <w:r w:rsidR="008506C3">
        <w:t>than expected (4.84% vs 11.58</w:t>
      </w:r>
      <w:r>
        <w:t>%)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w:t>
      </w:r>
      <w:r w:rsidR="00B3422B">
        <w:t>2</w:t>
      </w:r>
      <w:r>
        <w:t xml:space="preserve">% </w:t>
      </w:r>
      <w:r w:rsidR="00B3422B">
        <w:t xml:space="preserve">in a period with another </w:t>
      </w:r>
      <w:r>
        <w:t>financial crisis</w:t>
      </w:r>
      <w:r w:rsidR="00B3422B">
        <w:t xml:space="preserve"> and the buy and hold experienced a 46.10% drawdown</w:t>
      </w:r>
      <w:r>
        <w:t>.</w:t>
      </w:r>
      <w:r w:rsidR="00A00F10">
        <w:t xml:space="preserve"> </w:t>
      </w:r>
      <w:r>
        <w:t xml:space="preserve">Its apparent that the </w:t>
      </w:r>
      <w:r w:rsidR="00A00F10">
        <w:t xml:space="preserve">trend following </w:t>
      </w:r>
      <w:r w:rsidR="00A14593">
        <w:t xml:space="preserve">timing </w:t>
      </w:r>
      <w:r w:rsidR="000F3414">
        <w:t>strategy</w:t>
      </w:r>
      <w:r w:rsidR="00A14593">
        <w:t xml:space="preserve"> </w:t>
      </w:r>
      <w:r w:rsidR="000F3414">
        <w:t>may mitigate</w:t>
      </w:r>
      <w:r>
        <w:t xml:space="preserve">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w:t>
      </w:r>
      <w:r w:rsidR="000F3414">
        <w:t xml:space="preserve"> future</w:t>
      </w:r>
      <w:r w:rsidR="00A14593">
        <w:t xml:space="preserve"> financial crisis, where it’s not unreasonable to expect correlations to again increase towards one </w:t>
      </w:r>
      <w:r w:rsidR="009352E6">
        <w:t>for all asset classes.</w:t>
      </w:r>
    </w:p>
    <w:p w:rsidR="00864C76" w:rsidRDefault="00B3422B" w:rsidP="00CF49CD">
      <w:pPr>
        <w:jc w:val="center"/>
      </w:pPr>
      <w:r>
        <w:rPr>
          <w:noProof/>
          <w:lang w:eastAsia="en-AU"/>
        </w:rPr>
        <w:lastRenderedPageBreak/>
        <w:drawing>
          <wp:inline distT="0" distB="0" distL="0" distR="0" wp14:anchorId="02C446DC" wp14:editId="39C0ACA4">
            <wp:extent cx="5731510" cy="35375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B3422B" w:rsidRDefault="00B3422B" w:rsidP="00CF49CD">
      <w:pPr>
        <w:jc w:val="center"/>
      </w:pPr>
      <w:r>
        <w:rPr>
          <w:noProof/>
          <w:lang w:eastAsia="en-AU"/>
        </w:rPr>
        <w:drawing>
          <wp:inline distT="0" distB="0" distL="0" distR="0" wp14:anchorId="737CC25B" wp14:editId="75A0A9A2">
            <wp:extent cx="5731510" cy="353758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CF49CD" w:rsidRDefault="00CF49CD" w:rsidP="00CF49CD">
      <w:pPr>
        <w:pStyle w:val="HTMLPreformatted"/>
        <w:shd w:val="clear" w:color="auto" w:fill="FFFFFF"/>
        <w:spacing w:line="225" w:lineRule="atLeast"/>
        <w:jc w:val="center"/>
        <w:rPr>
          <w:rFonts w:ascii="Lucida Console" w:hAnsi="Lucida Console"/>
          <w:color w:val="000000"/>
        </w:rPr>
      </w:pPr>
    </w:p>
    <w:p w:rsidR="00CF49CD" w:rsidRDefault="00CF49CD" w:rsidP="00CF49CD">
      <w:pPr>
        <w:pStyle w:val="HTMLPreformatted"/>
        <w:shd w:val="clear" w:color="auto" w:fill="FFFFFF"/>
        <w:spacing w:line="225" w:lineRule="atLeast"/>
        <w:rPr>
          <w:rFonts w:ascii="Lucida Console" w:hAnsi="Lucida Console"/>
          <w:color w:val="000000"/>
        </w:rPr>
      </w:pPr>
    </w:p>
    <w:p w:rsidR="00864C76" w:rsidRDefault="000E22BF" w:rsidP="000E22BF">
      <w:pPr>
        <w:pStyle w:val="Heading2"/>
      </w:pPr>
      <w:bookmarkStart w:id="19" w:name="_Toc478417185"/>
      <w:r>
        <w:t>Performance under r</w:t>
      </w:r>
      <w:r w:rsidR="00864C76">
        <w:t>ising interest rates</w:t>
      </w:r>
      <w:bookmarkEnd w:id="19"/>
    </w:p>
    <w:p w:rsidR="005A3F0E" w:rsidRDefault="000E22BF" w:rsidP="00864C76">
      <w:r>
        <w:t>It</w:t>
      </w:r>
      <w:r w:rsidR="009352E6">
        <w:t>’</w:t>
      </w:r>
      <w:r w:rsidR="000F3414">
        <w:t xml:space="preserve">s well acknowledged </w:t>
      </w:r>
      <w:r w:rsidR="00CF49CD">
        <w:t>that the world has</w:t>
      </w:r>
      <w:r>
        <w:t xml:space="preser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9352E6" w:rsidRDefault="004C2995" w:rsidP="00864C76">
      <w:r>
        <w:rPr>
          <w:noProof/>
          <w:lang w:eastAsia="en-AU"/>
        </w:rPr>
        <w:lastRenderedPageBreak/>
        <w:drawing>
          <wp:inline distT="0" distB="0" distL="0" distR="0" wp14:anchorId="1E51A6B1" wp14:editId="4D89D0DD">
            <wp:extent cx="5731510" cy="35375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4C2995" w:rsidRDefault="004C2995" w:rsidP="00864C76"/>
    <w:p w:rsidR="004C2995" w:rsidRDefault="004C2995" w:rsidP="00864C76">
      <w:r>
        <w:rPr>
          <w:noProof/>
          <w:lang w:eastAsia="en-AU"/>
        </w:rPr>
        <w:drawing>
          <wp:inline distT="0" distB="0" distL="0" distR="0" wp14:anchorId="0CD90ED9" wp14:editId="029EB507">
            <wp:extent cx="5731510" cy="35375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0F3414" w:rsidRPr="004C2995" w:rsidRDefault="002D4721" w:rsidP="00D86CD8">
      <w:r>
        <w:t>Infl</w:t>
      </w:r>
      <w:r w:rsidR="00720FA9">
        <w:t xml:space="preserve">ammatory headlines are common, especially regarding CTA or trend following performance in a rising rates cycle. Due to its relative </w:t>
      </w:r>
      <w:r w:rsidR="000C2681">
        <w:t xml:space="preserve">increasing and relative </w:t>
      </w:r>
      <w:r w:rsidR="00720FA9">
        <w:t>popularity, some investors are concerned that trend following strategies only generate positive risk adjusted returns during periods of falling rates.</w:t>
      </w:r>
      <w:r w:rsidR="000C2681">
        <w:t xml:space="preserve"> </w:t>
      </w:r>
      <w:r w:rsidR="00720FA9">
        <w:t>To analysis potential performance under a rising rates regime, let</w:t>
      </w:r>
      <w:r w:rsidR="00AE00C3">
        <w:t>’</w:t>
      </w:r>
      <w:r w:rsidR="00720FA9">
        <w:t>s review the period 1973-1981 where it was a clear rising rates environment.</w:t>
      </w:r>
    </w:p>
    <w:p w:rsidR="006548D9" w:rsidRDefault="004C2995">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04FB7AFA" wp14:editId="79FB9944">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rsidR="00720FA9" w:rsidRDefault="00720FA9"/>
    <w:tbl>
      <w:tblPr>
        <w:tblW w:w="5000" w:type="pct"/>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713FD5" w:rsidTr="00713FD5">
        <w:trPr>
          <w:trHeight w:hRule="exact" w:val="284"/>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NAREIT</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5.19%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7.97%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3.65%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12.81%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6.85%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0.89%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16.56%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16.96%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23.53%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22.15%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Sharpe (8.41%)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-0.48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-0.07</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-42.65%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-41.53%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-37.45%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-58.10%</w:t>
            </w:r>
          </w:p>
        </w:tc>
      </w:tr>
      <w:tr w:rsidR="00713FD5" w:rsidTr="00713FD5">
        <w:trPr>
          <w:trHeight w:hRule="exact" w:val="284"/>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r>
    </w:tbl>
    <w:p w:rsidR="00713FD5" w:rsidRDefault="00713FD5"/>
    <w:p w:rsidR="0035168C" w:rsidRDefault="00713FD5">
      <w:r>
        <w:t xml:space="preserve">Reviewing the performance of the GTAA during the period of rising interest rates, </w:t>
      </w:r>
      <w:r w:rsidR="0035168C">
        <w:t xml:space="preserve">the </w:t>
      </w:r>
      <w:r w:rsidR="00912DF1">
        <w:t xml:space="preserve">timing strategy was </w:t>
      </w:r>
      <w:r w:rsidR="0035168C">
        <w:t xml:space="preserve">invested </w:t>
      </w:r>
      <w:r w:rsidR="00912DF1">
        <w:t xml:space="preserve">70.81 </w:t>
      </w:r>
      <w:r w:rsidR="0035168C">
        <w:t>of the time.</w:t>
      </w:r>
    </w:p>
    <w:p w:rsidR="0035168C" w:rsidRDefault="00912DF1">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17DDA100" wp14:editId="4B285E72">
            <wp:extent cx="5731510" cy="35375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D83BDE" w:rsidRPr="00912DF1" w:rsidRDefault="00912DF1" w:rsidP="00D83BDE">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3B4F874F" wp14:editId="623C852F">
            <wp:extent cx="5731510" cy="1854679"/>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971" cy="187133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912DF1" w:rsidRPr="00912DF1" w:rsidTr="00912DF1">
        <w:trPr>
          <w:trHeight w:hRule="exact" w:val="284"/>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Timing</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8.61%</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9.86%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10.79%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Skew</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-0.80</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Kurtosis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1.20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3.08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Inflation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in the Market</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100.00%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7D285F">
            <w:pPr>
              <w:jc w:val="center"/>
              <w:rPr>
                <w:rFonts w:ascii="Calibri" w:hAnsi="Calibri"/>
                <w:color w:val="000000"/>
                <w:sz w:val="20"/>
                <w:szCs w:val="20"/>
              </w:rPr>
            </w:pPr>
            <w:r>
              <w:rPr>
                <w:rFonts w:ascii="Calibri" w:hAnsi="Calibri"/>
                <w:color w:val="000000"/>
                <w:sz w:val="20"/>
                <w:szCs w:val="20"/>
              </w:rPr>
              <w:t>68</w:t>
            </w:r>
            <w:r w:rsidR="00912DF1" w:rsidRPr="00912DF1">
              <w:rPr>
                <w:rFonts w:ascii="Calibri" w:hAnsi="Calibri"/>
                <w:color w:val="000000"/>
                <w:sz w:val="20"/>
                <w:szCs w:val="20"/>
              </w:rPr>
              <w:t>.</w:t>
            </w:r>
            <w:r>
              <w:rPr>
                <w:rFonts w:ascii="Calibri" w:hAnsi="Calibri"/>
                <w:color w:val="000000"/>
                <w:sz w:val="20"/>
                <w:szCs w:val="20"/>
              </w:rPr>
              <w:t>07</w:t>
            </w:r>
            <w:r w:rsidR="00912DF1" w:rsidRPr="00912DF1">
              <w:rPr>
                <w:rFonts w:ascii="Calibri" w:hAnsi="Calibri"/>
                <w:color w:val="000000"/>
                <w:sz w:val="20"/>
                <w:szCs w:val="20"/>
              </w:rPr>
              <w:t>%</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positive Months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60.55%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69.72%</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Best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9.10%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6.57%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Worst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-9.29%</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-19.61%</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-9.56%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 /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0.97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Sharpe Ratio (4.93%)</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0.00</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Sortino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0.39</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0.58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MAR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0.44</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1.03</w:t>
            </w:r>
          </w:p>
        </w:tc>
      </w:tr>
      <w:tr w:rsidR="00912DF1" w:rsidRPr="00912DF1" w:rsidTr="00912DF1">
        <w:trPr>
          <w:trHeight w:hRule="exact" w:val="284"/>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Ulcer Index</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5.49</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2.20</w:t>
            </w:r>
          </w:p>
        </w:tc>
      </w:tr>
    </w:tbl>
    <w:p w:rsidR="00912DF1" w:rsidRDefault="00912DF1" w:rsidP="0035168C"/>
    <w:p w:rsidR="00912DF1" w:rsidRDefault="00912DF1" w:rsidP="00912DF1">
      <w:pPr>
        <w:rPr>
          <w:rFonts w:asciiTheme="majorHAnsi" w:eastAsiaTheme="majorEastAsia" w:hAnsiTheme="majorHAnsi" w:cstheme="majorBidi"/>
          <w:color w:val="2F5496" w:themeColor="accent1" w:themeShade="BF"/>
          <w:sz w:val="32"/>
          <w:szCs w:val="32"/>
        </w:rPr>
      </w:pPr>
      <w:r>
        <w:lastRenderedPageBreak/>
        <w:t>Despite attractive absolute returns in today</w:t>
      </w:r>
      <w:r w:rsidR="00BE7ECF">
        <w:t>’</w:t>
      </w:r>
      <w:r>
        <w:t xml:space="preserve">s climate for both the buy and hold and timing strategies, higher inflation in the period makes them much less attractive on their own. The value of the timing strategy is much clearer in the risk adjusted return measures which are all significantly higher than the buy and hold strategy. It’s clear that even in an environment of rising rates, the trend following strategy adds value. </w:t>
      </w:r>
    </w:p>
    <w:p w:rsidR="00490943" w:rsidRDefault="00490943" w:rsidP="00490943">
      <w:pPr>
        <w:pStyle w:val="Heading1"/>
      </w:pPr>
      <w:bookmarkStart w:id="20" w:name="_Toc478417186"/>
      <w:bookmarkStart w:id="21" w:name="_Hlk478099166"/>
      <w:r>
        <w:t>Practical</w:t>
      </w:r>
      <w:r w:rsidR="00B46168">
        <w:t xml:space="preserve"> and behavioural</w:t>
      </w:r>
      <w:r>
        <w:t xml:space="preserve"> implications for </w:t>
      </w:r>
      <w:r w:rsidR="00B46168">
        <w:t xml:space="preserve">Trend Following </w:t>
      </w:r>
      <w:r>
        <w:t>Investors</w:t>
      </w:r>
      <w:bookmarkEnd w:id="20"/>
    </w:p>
    <w:bookmarkEnd w:id="21"/>
    <w:p w:rsidR="00330137" w:rsidRPr="00330137" w:rsidRDefault="00330137" w:rsidP="00330137">
      <w:pPr>
        <w:rPr>
          <w:color w:val="FF0000"/>
        </w:rPr>
      </w:pPr>
      <w:r w:rsidRPr="00330137">
        <w:rPr>
          <w:color w:val="FF0000"/>
        </w:rPr>
        <w:t>[taxes/fees/etc/biases]</w:t>
      </w:r>
    </w:p>
    <w:p w:rsidR="00C77929" w:rsidRDefault="00C77929" w:rsidP="00915B84">
      <w:pPr>
        <w:pStyle w:val="Heading1"/>
      </w:pPr>
      <w:bookmarkStart w:id="22" w:name="_Toc478417187"/>
      <w:r>
        <w:t>Improving returns</w:t>
      </w:r>
      <w:bookmarkEnd w:id="22"/>
    </w:p>
    <w:p w:rsidR="00C9508F" w:rsidRDefault="00C9508F" w:rsidP="00C77929">
      <w:r>
        <w:t xml:space="preserve">Although </w:t>
      </w:r>
      <w:r w:rsidR="008B1D59">
        <w:t xml:space="preserve">over a long horizon </w:t>
      </w:r>
      <w:r>
        <w:t xml:space="preserve">the timing strategy provides respectable risk adjusted returns and improvements over the buy and hold strategy, at times it </w:t>
      </w:r>
      <w:r w:rsidR="008B1D59">
        <w:t xml:space="preserve">can </w:t>
      </w:r>
      <w:r>
        <w:t>underperform.</w:t>
      </w:r>
    </w:p>
    <w:p w:rsidR="00C9508F" w:rsidRDefault="00C9508F" w:rsidP="00C77929">
      <w:r>
        <w:t>[insert rolling performance chart underperformance]</w:t>
      </w:r>
    </w:p>
    <w:p w:rsidR="008B1D59" w:rsidRDefault="00C9508F" w:rsidP="008B1D59">
      <w:r>
        <w:t xml:space="preserve">The underlying </w:t>
      </w:r>
      <w:r w:rsidR="008B1D59">
        <w:t xml:space="preserve">system in the timing strategy is a trend following system based on a simple moving average. Trend following systems are designed to capture trends, however they are subject to periods of whipsaws… There are a few well known ideas that may improve returns and are worth investigating further. </w:t>
      </w:r>
    </w:p>
    <w:p w:rsidR="00915B84" w:rsidRDefault="00915B84" w:rsidP="00915B84">
      <w:pPr>
        <w:pStyle w:val="Heading2"/>
      </w:pPr>
      <w:bookmarkStart w:id="23" w:name="_Toc478417188"/>
      <w:r>
        <w:t>Diversification of assets</w:t>
      </w:r>
      <w:bookmarkEnd w:id="23"/>
    </w:p>
    <w:p w:rsidR="0002778A" w:rsidRDefault="00043B6B" w:rsidP="00915B84">
      <w:r w:rsidRPr="005E2533">
        <w:rPr>
          <w:highlight w:val="yellow"/>
        </w:rPr>
        <w:t>Faber (2013)</w:t>
      </w:r>
      <w:r>
        <w:t xml:space="preserve"> comments that his five asset class equal weighted asset allocation was chosen for simplicity and tests expanding the strategy to a 13 asset portfolio of different weightings. The addition increases the timing strategy’s absolute returns by 1.56% for similar volatility, improving the sharpe ratio from 0.73 to 0.94. Similar improvements to returns are seen in the buy and hold strategy with increased assets, highlighting again the benefits of diversification. It makes sense then to look at adding asset classes that are low correlated to the existing strategy.</w:t>
      </w:r>
      <w:r w:rsidR="0002778A">
        <w:t xml:space="preserve"> </w:t>
      </w:r>
    </w:p>
    <w:p w:rsidR="005F731A" w:rsidRDefault="0002778A" w:rsidP="00915B84">
      <w:r>
        <w:t>One such asset class worth investigating is Bitcoin, a cryptocurrency introduced in 2008.</w:t>
      </w:r>
      <w:r w:rsidR="005F731A">
        <w:t xml:space="preserve"> Bitcoin falls within the third superclass of assets known as store of value assets which generally serve as a refuge during uncertainty (</w:t>
      </w:r>
      <w:r w:rsidR="005F731A" w:rsidRPr="00DB7B45">
        <w:rPr>
          <w:highlight w:val="yellow"/>
        </w:rPr>
        <w:t>Greer 1997</w:t>
      </w:r>
      <w:r w:rsidR="005F731A">
        <w:t xml:space="preserve">). Despite only having a short period of </w:t>
      </w:r>
      <w:r w:rsidR="00967E0A">
        <w:t>pricing history from late 2010</w:t>
      </w:r>
      <w:r w:rsidR="005F731A">
        <w:t xml:space="preserve">, Bitcoin has so far demonstrated extremely low correlation to all other asset classes. </w:t>
      </w:r>
    </w:p>
    <w:p w:rsidR="006105D4" w:rsidRDefault="00D45882" w:rsidP="00915B84">
      <w:r>
        <w:rPr>
          <w:noProof/>
          <w:lang w:eastAsia="en-AU"/>
        </w:rPr>
        <w:lastRenderedPageBreak/>
        <w:drawing>
          <wp:inline distT="0" distB="0" distL="0" distR="0" wp14:anchorId="08B06000" wp14:editId="08F8AD5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02778A" w:rsidRPr="005E2533" w:rsidRDefault="005F731A" w:rsidP="00915B84">
      <w:pPr>
        <w:rPr>
          <w:color w:val="FF0000"/>
        </w:rPr>
      </w:pPr>
      <w:r w:rsidRPr="005E2533">
        <w:rPr>
          <w:color w:val="FF0000"/>
        </w:rPr>
        <w:t>[</w:t>
      </w:r>
      <w:r w:rsidR="006105D4" w:rsidRPr="005E2533">
        <w:rPr>
          <w:color w:val="FF0000"/>
        </w:rPr>
        <w:t>look at extending to daily</w:t>
      </w:r>
      <w:r w:rsidR="005E2533">
        <w:rPr>
          <w:color w:val="FF0000"/>
        </w:rPr>
        <w:t xml:space="preserve"> / 90d</w:t>
      </w:r>
      <w:r w:rsidRPr="005E2533">
        <w:rPr>
          <w:color w:val="FF0000"/>
        </w:rPr>
        <w:t>]</w:t>
      </w:r>
    </w:p>
    <w:p w:rsidR="008E16F8" w:rsidRDefault="008B1D59" w:rsidP="00915B84">
      <w:r>
        <w:t xml:space="preserve">With a relative short history trading, </w:t>
      </w:r>
      <w:r w:rsidR="009829AB">
        <w:t>Bitcoin trades on multiple unregulated exchanges</w:t>
      </w:r>
      <w:r>
        <w:t xml:space="preserve"> and is highly volatile</w:t>
      </w:r>
      <w:r w:rsidR="009829AB">
        <w:t xml:space="preserve">. </w:t>
      </w:r>
      <w:r>
        <w:t xml:space="preserve">Underinvested/difficult to access, </w:t>
      </w:r>
      <w:r w:rsidR="00D45882">
        <w:t xml:space="preserve">less likely to suffer from </w:t>
      </w:r>
      <w:r w:rsidR="009829AB">
        <w:t xml:space="preserve">the effects of </w:t>
      </w:r>
      <w:r w:rsidR="005F731A">
        <w:t xml:space="preserve">financialisation </w:t>
      </w:r>
      <w:r w:rsidR="00D45882">
        <w:t xml:space="preserve">witnessed in </w:t>
      </w:r>
      <w:r w:rsidR="00F422B9">
        <w:t>commodities</w:t>
      </w:r>
      <w:r w:rsidR="005F731A">
        <w:t xml:space="preserve"> </w:t>
      </w:r>
      <w:r w:rsidR="009829AB">
        <w:t>and with the recent Bitcoin ETF approval rejected, there’s no obvious short term event in the near future likely to change this view</w:t>
      </w:r>
      <w:r>
        <w:t>..</w:t>
      </w:r>
      <w:r w:rsidR="009829AB">
        <w:t xml:space="preserve">. </w:t>
      </w:r>
      <w:r w:rsidR="005F731A">
        <w:t>It appears that uncorrelated exposure Bitcoin seems an extremely attractive addition t</w:t>
      </w:r>
      <w:r w:rsidR="00F422B9">
        <w:t>o the original asset allocation especially as it matures and its volatility reduces.</w:t>
      </w:r>
    </w:p>
    <w:p w:rsidR="005F731A" w:rsidRDefault="005F731A" w:rsidP="00915B84">
      <w:r w:rsidRPr="005E2533">
        <w:rPr>
          <w:color w:val="FF0000"/>
        </w:rPr>
        <w:t>[</w:t>
      </w:r>
      <w:r w:rsidR="00F422B9" w:rsidRPr="005E2533">
        <w:rPr>
          <w:color w:val="FF0000"/>
        </w:rPr>
        <w:t xml:space="preserve">insert </w:t>
      </w:r>
      <w:r w:rsidRPr="005E2533">
        <w:rPr>
          <w:color w:val="FF0000"/>
        </w:rPr>
        <w:t xml:space="preserve">equal weighted GTAA portfolio </w:t>
      </w:r>
      <w:r w:rsidR="00F422B9" w:rsidRPr="005E2533">
        <w:rPr>
          <w:color w:val="FF0000"/>
        </w:rPr>
        <w:t>B&amp;H, Timing vs GTAA with Bitcoin B&amp;H and timing 2011-</w:t>
      </w:r>
      <w:r w:rsidRPr="005E2533">
        <w:rPr>
          <w:color w:val="FF0000"/>
        </w:rPr>
        <w:t>2016]</w:t>
      </w:r>
    </w:p>
    <w:p w:rsidR="005F731A" w:rsidRDefault="005F731A" w:rsidP="009829AB">
      <w:r>
        <w:t xml:space="preserve">Ultimately the length of </w:t>
      </w:r>
      <w:r w:rsidR="008E16F8">
        <w:t>pricing</w:t>
      </w:r>
      <w:r>
        <w:t xml:space="preserve"> history is short</w:t>
      </w:r>
      <w:r w:rsidR="008E16F8">
        <w:t xml:space="preserve"> and the asset has yet to experience a market crisis. Without falling subject to </w:t>
      </w:r>
      <w:r w:rsidR="009829AB">
        <w:t xml:space="preserve">the </w:t>
      </w:r>
      <w:r w:rsidR="008E16F8">
        <w:t>l</w:t>
      </w:r>
      <w:r w:rsidR="009829AB">
        <w:t xml:space="preserve">aw of small numbers and gambler’s fallacy </w:t>
      </w:r>
      <w:r w:rsidR="009829AB" w:rsidRPr="009829AB">
        <w:rPr>
          <w:highlight w:val="yellow"/>
        </w:rPr>
        <w:t>(Tversky and Kahneman, 1971</w:t>
      </w:r>
      <w:r w:rsidR="008E16F8">
        <w:t xml:space="preserve">), </w:t>
      </w:r>
      <w:r w:rsidR="009829AB">
        <w:t xml:space="preserve">its unwise to make predictions of the diversifying value of adding Bitcoin to the asset allocation just yet, but for investors who can handle its volatility it’s </w:t>
      </w:r>
      <w:r>
        <w:t>definitely one asset class worth keeping an eye on in the future</w:t>
      </w:r>
      <w:r w:rsidR="009829AB">
        <w:t xml:space="preserve"> to improve returns</w:t>
      </w:r>
      <w:r>
        <w:t>.</w:t>
      </w:r>
    </w:p>
    <w:p w:rsidR="000C2681" w:rsidRPr="00915B84" w:rsidRDefault="000C2681" w:rsidP="009829AB">
      <w:r>
        <w:t xml:space="preserve">Based on extensive research elsewhere, no further research </w:t>
      </w:r>
      <w:r w:rsidR="005E2533">
        <w:t>was done investigating adding more assets</w:t>
      </w:r>
      <w:r>
        <w:t xml:space="preserve"> as its generally accepted adding </w:t>
      </w:r>
      <w:r w:rsidR="005E2533">
        <w:t>a limited number of additional</w:t>
      </w:r>
      <w:r>
        <w:t xml:space="preserve"> uncorrelated assets to the asset allocation will improve returns</w:t>
      </w:r>
      <w:r w:rsidR="005E2533">
        <w:t>.</w:t>
      </w:r>
    </w:p>
    <w:p w:rsidR="00E62DB9" w:rsidRDefault="00A83EE7" w:rsidP="00F422B9">
      <w:pPr>
        <w:pStyle w:val="Heading2"/>
      </w:pPr>
      <w:bookmarkStart w:id="24" w:name="_Toc478417189"/>
      <w:r>
        <w:t>Avoiding Whipsaws</w:t>
      </w:r>
      <w:bookmarkEnd w:id="24"/>
    </w:p>
    <w:p w:rsidR="00F422B9" w:rsidRDefault="00794CD1" w:rsidP="00017E0A">
      <w:r>
        <w:t xml:space="preserve">Trend following strategies are designed to identify trends and react by entering trades that will stay with the trend for as long as it lasts. The trading philosophy doesn’t attempt to predict the bottom or top of a market but rather react to a </w:t>
      </w:r>
      <w:r w:rsidR="00E25A17">
        <w:t xml:space="preserve">price </w:t>
      </w:r>
      <w:r>
        <w:t xml:space="preserve">move and </w:t>
      </w:r>
      <w:r w:rsidR="00F422B9">
        <w:t xml:space="preserve">capture as much </w:t>
      </w:r>
      <w:r>
        <w:t>of the remainder</w:t>
      </w:r>
      <w:r w:rsidR="00F422B9">
        <w:t xml:space="preserve"> while it lasts</w:t>
      </w:r>
      <w:r>
        <w:t xml:space="preserve">. A </w:t>
      </w:r>
      <w:r w:rsidR="00F422B9">
        <w:t xml:space="preserve">drawback with trend following strategies is that performance generally suffers in consolidating, non trending or range bound markets. These sideways moving markets generate several false entry signals as the price </w:t>
      </w:r>
      <w:r w:rsidR="00E25A17">
        <w:t>whipsaws and quickly moves</w:t>
      </w:r>
      <w:r w:rsidR="00F422B9">
        <w:t xml:space="preserve"> through the moving average in both directions, resulting in </w:t>
      </w:r>
      <w:r w:rsidR="006C60AE">
        <w:t xml:space="preserve">multiple </w:t>
      </w:r>
      <w:r w:rsidR="00F422B9">
        <w:t xml:space="preserve">buy and sell </w:t>
      </w:r>
      <w:r w:rsidR="006C60AE">
        <w:t xml:space="preserve">signals and </w:t>
      </w:r>
      <w:r w:rsidR="00F422B9">
        <w:t xml:space="preserve">trades </w:t>
      </w:r>
      <w:r w:rsidR="006C60AE">
        <w:t>for</w:t>
      </w:r>
      <w:r w:rsidR="00F422B9">
        <w:t xml:space="preserve"> a small loss each time. </w:t>
      </w:r>
      <w:r w:rsidR="00F422B9">
        <w:lastRenderedPageBreak/>
        <w:t xml:space="preserve">Ultimately these periods are responsible for the low overall 30-40% win rate of trend following strategies </w:t>
      </w:r>
    </w:p>
    <w:p w:rsidR="00F422B9" w:rsidRDefault="00F422B9" w:rsidP="00017E0A">
      <w:r w:rsidRPr="006C60AE">
        <w:rPr>
          <w:color w:val="FF0000"/>
        </w:rPr>
        <w:t xml:space="preserve"> [insert chart of one asset</w:t>
      </w:r>
      <w:r w:rsidR="006C60AE" w:rsidRPr="006C60AE">
        <w:rPr>
          <w:color w:val="FF0000"/>
        </w:rPr>
        <w:t xml:space="preserve"> when whipsawing</w:t>
      </w:r>
      <w:r w:rsidR="006C60AE">
        <w:rPr>
          <w:color w:val="FF0000"/>
        </w:rPr>
        <w:t xml:space="preserve"> with performance/P&amp;L</w:t>
      </w:r>
      <w:r w:rsidRPr="006C60AE">
        <w:rPr>
          <w:color w:val="FF0000"/>
        </w:rPr>
        <w:t>]</w:t>
      </w:r>
    </w:p>
    <w:p w:rsidR="00017E0A" w:rsidRDefault="006C60AE" w:rsidP="00017E0A">
      <w:r>
        <w:t xml:space="preserve">On average the size of the winners when the market is trending is much greater than the several small losses, resulting in the positive expectancy of these types of strategies. </w:t>
      </w:r>
      <w:r w:rsidR="00017E0A">
        <w:t xml:space="preserve">To avoid whipsaws, there are a couple of methods </w:t>
      </w:r>
      <w:r w:rsidR="009C35AD">
        <w:t xml:space="preserve">that can be </w:t>
      </w:r>
      <w:r w:rsidR="00017E0A">
        <w:t>used</w:t>
      </w:r>
      <w:r w:rsidR="009C35AD">
        <w:t xml:space="preserve"> which will be applied to the GTAA</w:t>
      </w:r>
      <w:r w:rsidR="00017E0A">
        <w:t>:</w:t>
      </w:r>
    </w:p>
    <w:p w:rsidR="00017E0A" w:rsidRDefault="00017E0A" w:rsidP="00017E0A">
      <w:pPr>
        <w:pStyle w:val="ListParagraph"/>
        <w:numPr>
          <w:ilvl w:val="0"/>
          <w:numId w:val="2"/>
        </w:numPr>
      </w:pPr>
      <w:r>
        <w:t>Delayed entry</w:t>
      </w:r>
    </w:p>
    <w:p w:rsidR="00017E0A" w:rsidRDefault="00017E0A" w:rsidP="00017E0A">
      <w:pPr>
        <w:pStyle w:val="ListParagraph"/>
        <w:numPr>
          <w:ilvl w:val="0"/>
          <w:numId w:val="2"/>
        </w:numPr>
      </w:pPr>
      <w:r>
        <w:t>Bands</w:t>
      </w:r>
    </w:p>
    <w:p w:rsidR="00E25A17" w:rsidRDefault="00E25A17" w:rsidP="00017E0A">
      <w:pPr>
        <w:pStyle w:val="ListParagraph"/>
        <w:numPr>
          <w:ilvl w:val="0"/>
          <w:numId w:val="2"/>
        </w:numPr>
      </w:pPr>
      <w:r>
        <w:t>Slope of moving average</w:t>
      </w:r>
    </w:p>
    <w:p w:rsidR="00017E0A" w:rsidRDefault="00017E0A" w:rsidP="00017E0A">
      <w:r>
        <w:t xml:space="preserve">Ultimately these delay entry into </w:t>
      </w:r>
      <w:r w:rsidR="00794CD1">
        <w:t>a</w:t>
      </w:r>
      <w:r>
        <w:t xml:space="preserve"> trade</w:t>
      </w:r>
      <w:r w:rsidR="00794CD1">
        <w:t xml:space="preserve"> </w:t>
      </w:r>
      <w:r w:rsidR="00BE7ECF">
        <w:t xml:space="preserve">or require greater certainty that a trend is present. As a result they are generally in the market less, </w:t>
      </w:r>
      <w:r w:rsidR="00794CD1">
        <w:t>can miss short term whipsaws but</w:t>
      </w:r>
      <w:r>
        <w:t xml:space="preserve"> at the expense of missing out of the first part of the move. However </w:t>
      </w:r>
      <w:r w:rsidR="00BE7ECF">
        <w:t xml:space="preserve">the </w:t>
      </w:r>
      <w:r>
        <w:t>avoid</w:t>
      </w:r>
      <w:r w:rsidR="00BE7ECF">
        <w:t>ance of costly whipsaw periods</w:t>
      </w:r>
      <w:r w:rsidR="006C60AE">
        <w:t xml:space="preserve"> in prolonged sideways moving markets</w:t>
      </w:r>
      <w:r w:rsidR="00BE7ECF">
        <w:t xml:space="preserve"> can justify their use</w:t>
      </w:r>
      <w:r>
        <w:t>.</w:t>
      </w:r>
    </w:p>
    <w:p w:rsidR="00C77929" w:rsidRDefault="006C60AE" w:rsidP="006C60AE">
      <w:pPr>
        <w:pStyle w:val="Heading2"/>
      </w:pPr>
      <w:bookmarkStart w:id="25" w:name="_Toc478417190"/>
      <w:r>
        <w:t>Delayed entry</w:t>
      </w:r>
      <w:bookmarkEnd w:id="25"/>
    </w:p>
    <w:p w:rsidR="005E2533" w:rsidRDefault="006C60AE" w:rsidP="006C60AE">
      <w:r>
        <w:t>This method delays long entry for a set period after a long signal to confirm that the price is still above the moving average and has not fallen back below.</w:t>
      </w:r>
      <w:r w:rsidR="005B7D98">
        <w:t xml:space="preserve"> It eliminates whipsaws at the expense of missing out of the first part of the move. The delay only applies to the entry of a long position, and if the price falls below the moving average, the position is closed out instantaneously.</w:t>
      </w:r>
      <w:r w:rsidR="00E14656">
        <w:t xml:space="preserve"> Looking at the SP500 for the entire period, the value of the strategy does not look significantly different to the timing strategy. Absolute and Risk Adjusted Return metrics are all in line, perhaps the biggest difference is that the strategy is in the market only 69.19% of the time vs the 74.67% of the timing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BE7ECF" w:rsidRPr="00BE7ECF" w:rsidTr="00BE7ECF">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 Delayed</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15.28%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11.22%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-0.71</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74.67%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69.19%</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73.35%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75.24%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16.81%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-50.95%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-23.26%</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c>
          <w:tcPr>
            <w:tcW w:w="1250" w:type="pct"/>
            <w:tcBorders>
              <w:top w:val="nil"/>
              <w:left w:val="single" w:sz="8" w:space="0" w:color="auto"/>
              <w:bottom w:val="nil"/>
              <w:right w:val="single" w:sz="8" w:space="0" w:color="auto"/>
            </w:tcBorders>
            <w:shd w:val="clear" w:color="000000" w:fill="64BF7C"/>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MAR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0.20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14.45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5.93</w:t>
            </w:r>
          </w:p>
        </w:tc>
      </w:tr>
    </w:tbl>
    <w:p w:rsidR="00017E0A" w:rsidRDefault="00017E0A" w:rsidP="006C60AE">
      <w:pPr>
        <w:rPr>
          <w:rFonts w:asciiTheme="majorHAnsi" w:eastAsiaTheme="majorEastAsia" w:hAnsiTheme="majorHAnsi" w:cstheme="majorBidi"/>
          <w:color w:val="1F3763" w:themeColor="accent1" w:themeShade="7F"/>
          <w:sz w:val="24"/>
          <w:szCs w:val="24"/>
        </w:rPr>
      </w:pPr>
    </w:p>
    <w:p w:rsidR="00E14656" w:rsidRDefault="00E14656" w:rsidP="00E14656">
      <w:r>
        <w:t xml:space="preserve">Focusing on a specific period that the SP500 was subject to whipsaws in 1977-1978, the delayed timing strategy is much more hesitant to enter a long position when the price moves above the moving average. It is only in the market 32% of the time compared to 48% of the time for the Timing strategy. Absolute performance is positive as it ignores two opportunities to enter the market that </w:t>
      </w:r>
      <w:r>
        <w:lastRenderedPageBreak/>
        <w:t xml:space="preserve">the tradional timing model took and immediately got whipsawed out of the trade. </w:t>
      </w:r>
      <w:r w:rsidRPr="00E14656">
        <w:rPr>
          <w:color w:val="FF0000"/>
        </w:rPr>
        <w:t>[add buy and sell signals with quantstrat]</w:t>
      </w:r>
    </w:p>
    <w:p w:rsidR="00E14656" w:rsidRDefault="00E14656" w:rsidP="00E14656">
      <w:r>
        <w:rPr>
          <w:noProof/>
          <w:lang w:eastAsia="en-AU"/>
        </w:rPr>
        <w:drawing>
          <wp:inline distT="0" distB="0" distL="0" distR="0" wp14:anchorId="793A1F6D" wp14:editId="16B02F82">
            <wp:extent cx="5731510" cy="219110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702" cy="2192329"/>
                    </a:xfrm>
                    <a:prstGeom prst="rect">
                      <a:avLst/>
                    </a:prstGeom>
                  </pic:spPr>
                </pic:pic>
              </a:graphicData>
            </a:graphic>
          </wp:inline>
        </w:drawing>
      </w:r>
    </w:p>
    <w:p w:rsidR="00E14656" w:rsidRDefault="00E14656" w:rsidP="00E14656">
      <w:r>
        <w:rPr>
          <w:noProof/>
          <w:lang w:eastAsia="en-AU"/>
        </w:rPr>
        <w:drawing>
          <wp:inline distT="0" distB="0" distL="0" distR="0" wp14:anchorId="0DE5E7F6" wp14:editId="2CE58405">
            <wp:extent cx="5731510" cy="1802921"/>
            <wp:effectExtent l="0" t="0" r="254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0612" cy="1805784"/>
                    </a:xfrm>
                    <a:prstGeom prst="rect">
                      <a:avLst/>
                    </a:prstGeom>
                  </pic:spPr>
                </pic:pic>
              </a:graphicData>
            </a:graphic>
          </wp:inline>
        </w:drawing>
      </w:r>
    </w:p>
    <w:p w:rsidR="00E14656" w:rsidRDefault="00E14656" w:rsidP="00E14656"/>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E14656" w:rsidRPr="00E14656" w:rsidTr="00E14656">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 Delayed</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2.48%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13.66%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9.52%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1.93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3.81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48.00%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32.00%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80.00%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-14.26%</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-9.39%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6.69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3.63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-0.29</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-0.38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Sortino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MAR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0.28</w:t>
            </w:r>
          </w:p>
        </w:tc>
      </w:tr>
      <w:tr w:rsidR="00E14656" w:rsidRPr="00E14656" w:rsidTr="00E14656">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6.23</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4.37</w:t>
            </w:r>
          </w:p>
        </w:tc>
      </w:tr>
    </w:tbl>
    <w:p w:rsidR="00E14656" w:rsidRDefault="00E14656" w:rsidP="006C60AE">
      <w:pPr>
        <w:rPr>
          <w:rFonts w:asciiTheme="majorHAnsi" w:eastAsiaTheme="majorEastAsia" w:hAnsiTheme="majorHAnsi" w:cstheme="majorBidi"/>
          <w:color w:val="1F3763" w:themeColor="accent1" w:themeShade="7F"/>
          <w:sz w:val="24"/>
          <w:szCs w:val="24"/>
        </w:rPr>
      </w:pPr>
    </w:p>
    <w:p w:rsidR="008830FA" w:rsidRDefault="008830FA">
      <w:pPr>
        <w:rPr>
          <w:rFonts w:asciiTheme="majorHAnsi" w:eastAsiaTheme="majorEastAsia" w:hAnsiTheme="majorHAnsi" w:cstheme="majorBidi"/>
          <w:color w:val="2F5496" w:themeColor="accent1" w:themeShade="BF"/>
          <w:sz w:val="26"/>
          <w:szCs w:val="26"/>
        </w:rPr>
      </w:pPr>
      <w:r>
        <w:br w:type="page"/>
      </w:r>
    </w:p>
    <w:p w:rsidR="00E14656" w:rsidRDefault="00306F0F" w:rsidP="00E14656">
      <w:pPr>
        <w:pStyle w:val="Heading2"/>
      </w:pPr>
      <w:bookmarkStart w:id="26" w:name="_Toc478417191"/>
      <w:r>
        <w:lastRenderedPageBreak/>
        <w:t xml:space="preserve">Timing </w:t>
      </w:r>
      <w:r w:rsidR="00E14656">
        <w:t>Band</w:t>
      </w:r>
      <w:bookmarkEnd w:id="26"/>
    </w:p>
    <w:p w:rsidR="00306F0F" w:rsidRDefault="008B1D59" w:rsidP="00306F0F">
      <w:r>
        <w:t xml:space="preserve">Introduced in 1960 by Chester Keltner, this strategy is commonly known as the Keltner Channel Trading strategy. Similar to the delayed timing strategy, this strategy requires the price to </w:t>
      </w:r>
      <w:r w:rsidR="00F9427B">
        <w:t xml:space="preserve">demonstrate a stronger trend than just simply </w:t>
      </w:r>
      <w:r>
        <w:t>cross</w:t>
      </w:r>
      <w:r w:rsidR="00F9427B">
        <w:t>ing</w:t>
      </w:r>
      <w:r>
        <w:t xml:space="preserve"> above the movin</w:t>
      </w:r>
      <w:r w:rsidR="00F9427B">
        <w:t>g average. I</w:t>
      </w:r>
      <w:r>
        <w:t xml:space="preserve">nstead </w:t>
      </w:r>
      <w:r w:rsidR="00F9427B">
        <w:t xml:space="preserve">the price has to </w:t>
      </w:r>
      <w:r>
        <w:t>close a specific range above the simple m</w:t>
      </w:r>
      <w:r w:rsidR="00F9427B">
        <w:t xml:space="preserve">oving average, in this example 102.5% of the moving average. Commonly the range is based on the ATR indicator however for simplicity in this research 102.5% was chosen – parameter stability was evident. In this example the </w:t>
      </w:r>
      <w:r w:rsidR="00306F0F">
        <w:t xml:space="preserve">exit is immediately when the price falls below the moving average. </w:t>
      </w:r>
      <w:r w:rsidR="00F9427B">
        <w:t xml:space="preserve">Overall the strategy aims to </w:t>
      </w:r>
      <w:r w:rsidR="00306F0F">
        <w:t>eliminate whips at the expense of missing out the first part of a</w:t>
      </w:r>
      <w:r w:rsidR="00F9427B">
        <w:t>ny trend</w:t>
      </w:r>
      <w:r w:rsidR="00306F0F">
        <w:t xml:space="preserve">. Looking at the SP500 for the entire period, the value of the strategy is slightly better than the original timing strategy with slightly higher CAGR and slightly lower volatility, resulting in improved risk adjusted return metrics. </w:t>
      </w:r>
      <w:r w:rsidR="00F9427B">
        <w:t>Again,</w:t>
      </w:r>
      <w:r w:rsidR="00306F0F">
        <w:t xml:space="preserve"> the strategy is in the market for a less time – 70.89% of the time vs the 74.67% of the original timing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306F0F" w:rsidRPr="00BE7ECF" w:rsidTr="004423BE">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 Band</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10.96%</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15.28%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11.61%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11.14%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-0.66</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6.13</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74.67%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70.89%</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73.35%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75.24%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16.81%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13.47%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13.47%</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-50.95%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-23.29%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-23.29%</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2.13</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0.44</w:t>
            </w:r>
          </w:p>
        </w:tc>
        <w:tc>
          <w:tcPr>
            <w:tcW w:w="1250"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0.52</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0.42</w:t>
            </w:r>
          </w:p>
        </w:tc>
        <w:tc>
          <w:tcPr>
            <w:tcW w:w="1250" w:type="pct"/>
            <w:tcBorders>
              <w:top w:val="nil"/>
              <w:left w:val="single" w:sz="8" w:space="0" w:color="auto"/>
              <w:bottom w:val="nil"/>
              <w:right w:val="single" w:sz="8" w:space="0" w:color="auto"/>
            </w:tcBorders>
            <w:shd w:val="clear" w:color="000000" w:fill="64BF7C"/>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0.47</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0.20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0.44</w:t>
            </w:r>
          </w:p>
        </w:tc>
        <w:tc>
          <w:tcPr>
            <w:tcW w:w="1250"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0.47</w:t>
            </w:r>
          </w:p>
        </w:tc>
      </w:tr>
      <w:tr w:rsidR="00306F0F" w:rsidRPr="00BE7ECF" w:rsidTr="004423BE">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14.45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5.36</w:t>
            </w:r>
          </w:p>
        </w:tc>
      </w:tr>
    </w:tbl>
    <w:p w:rsidR="00306F0F" w:rsidRDefault="00306F0F" w:rsidP="00306F0F">
      <w:pPr>
        <w:rPr>
          <w:rFonts w:asciiTheme="majorHAnsi" w:eastAsiaTheme="majorEastAsia" w:hAnsiTheme="majorHAnsi" w:cstheme="majorBidi"/>
          <w:color w:val="1F3763" w:themeColor="accent1" w:themeShade="7F"/>
          <w:sz w:val="24"/>
          <w:szCs w:val="24"/>
        </w:rPr>
      </w:pPr>
    </w:p>
    <w:p w:rsidR="00306F0F" w:rsidRDefault="00306F0F" w:rsidP="00306F0F">
      <w:r>
        <w:t xml:space="preserve">Focusing on a specific period that the SP500 was subject to whipsaws in 1977-1978, the timing band </w:t>
      </w:r>
      <w:r w:rsidR="00F9427B">
        <w:t xml:space="preserve">makes it harder to enter a long position as the price closing just above the moving average is not strong enough to signal entry. </w:t>
      </w:r>
      <w:r>
        <w:t xml:space="preserve">It is in the market 36% of the time compared to 48% of the time for the </w:t>
      </w:r>
      <w:r w:rsidR="00F9427B">
        <w:t>original t</w:t>
      </w:r>
      <w:r>
        <w:t xml:space="preserve">iming strategy. Absolute performance is positive as it ignores two opportunities to enter the market that the traditional timing model took and immediately got whipsawed out of the trade. </w:t>
      </w:r>
      <w:r w:rsidRPr="00E14656">
        <w:rPr>
          <w:color w:val="FF0000"/>
        </w:rPr>
        <w:t>[</w:t>
      </w:r>
      <w:r>
        <w:rPr>
          <w:color w:val="FF0000"/>
        </w:rPr>
        <w:t>add 102.5% dotted line…</w:t>
      </w:r>
      <w:r w:rsidRPr="00E14656">
        <w:rPr>
          <w:color w:val="FF0000"/>
        </w:rPr>
        <w:t>]</w:t>
      </w:r>
    </w:p>
    <w:p w:rsidR="00306F0F" w:rsidRDefault="00306F0F" w:rsidP="00306F0F">
      <w:r>
        <w:rPr>
          <w:noProof/>
          <w:lang w:eastAsia="en-AU"/>
        </w:rPr>
        <w:lastRenderedPageBreak/>
        <w:drawing>
          <wp:inline distT="0" distB="0" distL="0" distR="0" wp14:anchorId="791F94E2" wp14:editId="4B9F975D">
            <wp:extent cx="5731510" cy="21911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702" cy="2192329"/>
                    </a:xfrm>
                    <a:prstGeom prst="rect">
                      <a:avLst/>
                    </a:prstGeom>
                  </pic:spPr>
                </pic:pic>
              </a:graphicData>
            </a:graphic>
          </wp:inline>
        </w:drawing>
      </w:r>
    </w:p>
    <w:p w:rsidR="00306F0F" w:rsidRDefault="008B1D59" w:rsidP="00306F0F">
      <w:r>
        <w:rPr>
          <w:noProof/>
          <w:lang w:eastAsia="en-AU"/>
        </w:rPr>
        <w:drawing>
          <wp:inline distT="0" distB="0" distL="0" distR="0" wp14:anchorId="47314BD4" wp14:editId="31364FC6">
            <wp:extent cx="5731510" cy="21307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6595" cy="2136333"/>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306F0F" w:rsidRPr="00E14656" w:rsidTr="004423BE">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 Band</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2.67%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13.66%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9.53%</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-1.05</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1.93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3.80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48.00%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36.00%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80.00%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5.84%</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-14.26%</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-9.39%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-9.01%</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6.69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3.37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-0.29</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-0.36</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0.13</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0.30</w:t>
            </w:r>
          </w:p>
        </w:tc>
      </w:tr>
      <w:tr w:rsidR="00306F0F" w:rsidRPr="00E14656" w:rsidTr="004423BE">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7.29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6.23</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4.37</w:t>
            </w:r>
          </w:p>
        </w:tc>
      </w:tr>
    </w:tbl>
    <w:p w:rsidR="00306F0F" w:rsidRDefault="00306F0F" w:rsidP="00306F0F">
      <w:pPr>
        <w:rPr>
          <w:rFonts w:asciiTheme="majorHAnsi" w:eastAsiaTheme="majorEastAsia" w:hAnsiTheme="majorHAnsi" w:cstheme="majorBidi"/>
          <w:color w:val="1F3763" w:themeColor="accent1" w:themeShade="7F"/>
          <w:sz w:val="24"/>
          <w:szCs w:val="24"/>
        </w:rPr>
      </w:pPr>
    </w:p>
    <w:p w:rsidR="00306F0F" w:rsidRDefault="00306F0F" w:rsidP="00306F0F">
      <w:pPr>
        <w:rPr>
          <w:rFonts w:asciiTheme="majorHAnsi" w:eastAsiaTheme="majorEastAsia" w:hAnsiTheme="majorHAnsi" w:cstheme="majorBidi"/>
          <w:color w:val="2F5496" w:themeColor="accent1" w:themeShade="BF"/>
          <w:sz w:val="26"/>
          <w:szCs w:val="26"/>
        </w:rPr>
      </w:pPr>
      <w:r>
        <w:br w:type="page"/>
      </w:r>
    </w:p>
    <w:p w:rsidR="002F38DA" w:rsidRDefault="00915B84" w:rsidP="00915B84">
      <w:pPr>
        <w:pStyle w:val="Heading2"/>
      </w:pPr>
      <w:bookmarkStart w:id="27" w:name="_Toc478417192"/>
      <w:r>
        <w:lastRenderedPageBreak/>
        <w:t xml:space="preserve">Strategy </w:t>
      </w:r>
      <w:r w:rsidR="002F38DA">
        <w:t>Diversification</w:t>
      </w:r>
      <w:bookmarkEnd w:id="27"/>
    </w:p>
    <w:p w:rsidR="00AB34EF" w:rsidRDefault="002F38DA" w:rsidP="00C77929">
      <w:r>
        <w:t>The value of diversif</w:t>
      </w:r>
      <w:r w:rsidR="00915B84">
        <w:t>ic</w:t>
      </w:r>
      <w:r>
        <w:t xml:space="preserve">ation is widely known and previously acknowledged. For a buy and hold investment strategy, </w:t>
      </w:r>
      <w:r w:rsidR="00AB34EF">
        <w:t>diversification is limited to</w:t>
      </w:r>
      <w:r w:rsidR="003C1378">
        <w:t xml:space="preserve"> the choice of assets invested. </w:t>
      </w:r>
      <w:r w:rsidR="00AB34EF">
        <w:t xml:space="preserve">In an active approach to investing, diversification can be applied to all </w:t>
      </w:r>
      <w:r w:rsidR="003C1378">
        <w:t xml:space="preserve">variables </w:t>
      </w:r>
      <w:r w:rsidR="00AB34EF">
        <w:t>within a trading strategy</w:t>
      </w:r>
      <w:r w:rsidR="003C1378">
        <w:t xml:space="preserve"> including the type of indicator used as an entry or exit signal, the signal’s time period as well as strategy’s direction (long or short)</w:t>
      </w:r>
      <w:r w:rsidR="00AB34EF">
        <w:t xml:space="preserve">. </w:t>
      </w:r>
    </w:p>
    <w:p w:rsidR="00C77929" w:rsidRDefault="00C77929" w:rsidP="00C77929">
      <w:r w:rsidRPr="00185A31">
        <w:rPr>
          <w:highlight w:val="yellow"/>
        </w:rPr>
        <w:t>Peter Garnby (2016)</w:t>
      </w:r>
      <w:r>
        <w:t xml:space="preserve"> </w:t>
      </w:r>
      <w:r w:rsidR="002F38DA">
        <w:t xml:space="preserve">demonstrates that weak individual trading strategies, which </w:t>
      </w:r>
      <w:r w:rsidR="00AB34EF">
        <w:t>individual</w:t>
      </w:r>
      <w:r w:rsidR="003C1378">
        <w:t>ly</w:t>
      </w:r>
      <w:r w:rsidR="00AB34EF">
        <w:t xml:space="preserve"> </w:t>
      </w:r>
      <w:r w:rsidR="002F38DA">
        <w:t xml:space="preserve">offer low risk adjusted returns, can be combined into a superior portfolio </w:t>
      </w:r>
      <w:r w:rsidR="00AB34EF">
        <w:t xml:space="preserve">with much stronger risk adjusted returns. </w:t>
      </w:r>
      <w:r w:rsidR="003C1378">
        <w:t>O</w:t>
      </w:r>
      <w:r w:rsidR="00974771">
        <w:t>ver 500 trials he</w:t>
      </w:r>
      <w:r w:rsidR="00AB34EF">
        <w:t xml:space="preserve"> simulates blending 20 </w:t>
      </w:r>
      <w:r w:rsidR="00974771">
        <w:t xml:space="preserve">individual </w:t>
      </w:r>
      <w:r w:rsidR="00AB34EF">
        <w:t xml:space="preserve">strategies </w:t>
      </w:r>
      <w:r w:rsidR="00974771">
        <w:t xml:space="preserve">each </w:t>
      </w:r>
      <w:r w:rsidR="00AB34EF">
        <w:t xml:space="preserve">with individual sharpe ratios of 0.6 </w:t>
      </w:r>
      <w:r w:rsidR="00974771">
        <w:t>into portfolios that run for 10 years. A</w:t>
      </w:r>
      <w:r w:rsidR="00AB34EF">
        <w:t xml:space="preserve">lthough absolute returns </w:t>
      </w:r>
      <w:r w:rsidR="00974771">
        <w:t xml:space="preserve">are not </w:t>
      </w:r>
      <w:r w:rsidR="003C1378">
        <w:t xml:space="preserve">necessarily </w:t>
      </w:r>
      <w:r w:rsidR="00974771">
        <w:t>enhanced</w:t>
      </w:r>
      <w:r w:rsidR="00AB34EF">
        <w:t>,</w:t>
      </w:r>
      <w:r w:rsidR="00974771">
        <w:t xml:space="preserve"> he finds that portfoli</w:t>
      </w:r>
      <w:r w:rsidR="003C1378">
        <w:t>os of low correlated strategies</w:t>
      </w:r>
      <w:r w:rsidR="00974771">
        <w:t xml:space="preserve"> return</w:t>
      </w:r>
      <w:r w:rsidR="00AB34EF">
        <w:t xml:space="preserve"> </w:t>
      </w:r>
      <w:r w:rsidR="00974771">
        <w:t xml:space="preserve">significantly improved </w:t>
      </w:r>
      <w:r w:rsidR="00AB34EF">
        <w:t xml:space="preserve">risk adjusted performance </w:t>
      </w:r>
      <w:r w:rsidR="00974771">
        <w:t>with portfolio Sharpe R</w:t>
      </w:r>
      <w:r w:rsidR="00AB34EF">
        <w:t>atios of 3</w:t>
      </w:r>
      <w:r w:rsidR="00974771">
        <w:t>, a 370% improvement</w:t>
      </w:r>
      <w:r w:rsidR="00AB34EF">
        <w:t xml:space="preserve">. </w:t>
      </w:r>
      <w:r w:rsidR="00185A31">
        <w:t xml:space="preserve">The portfolio </w:t>
      </w:r>
      <w:r w:rsidR="00974771">
        <w:t xml:space="preserve">risk adjusted returns quickly decline as correlation increases, however the research shows the benefits of diversification can also be achieved </w:t>
      </w:r>
      <w:r w:rsidR="00185A31">
        <w:t xml:space="preserve">by </w:t>
      </w:r>
      <w:r w:rsidR="00974771">
        <w:t>combining low correlated timing strategies.</w:t>
      </w:r>
    </w:p>
    <w:p w:rsidR="009A7EBC" w:rsidRDefault="00185A31" w:rsidP="00C77929">
      <w:r>
        <w:t>Applying this knowledge to Faber’s timing strategy can be achieved in multiple ways. O</w:t>
      </w:r>
      <w:r w:rsidR="005E2533">
        <w:t xml:space="preserve">ne of the </w:t>
      </w:r>
      <w:r w:rsidR="003C1378">
        <w:t xml:space="preserve">simplest </w:t>
      </w:r>
      <w:r>
        <w:t>methods would be by diversifying the timing signal moving average period. Faber acknowledges that stability of using various parameters for the moving average period</w:t>
      </w:r>
      <w:r w:rsidR="00F01CF4">
        <w:t xml:space="preserve">. Faber uses the 10m moving average </w:t>
      </w:r>
      <w:r w:rsidR="003C1378">
        <w:t>and compares the re</w:t>
      </w:r>
      <w:r w:rsidR="001B693D">
        <w:t xml:space="preserve">turns to 3, </w:t>
      </w:r>
      <w:r w:rsidR="003C1378">
        <w:t>6,</w:t>
      </w:r>
      <w:r w:rsidR="001B693D">
        <w:t xml:space="preserve"> 9</w:t>
      </w:r>
      <w:r w:rsidR="003C1378">
        <w:t xml:space="preserve"> and 12 month moving averages to find similar returns. Another two popular signals in the trend following community are the 50day and 100 day moving averages. Converted to monthly 2m and 5m, how does an equal weighted portfolio of the 3 different moving average timing strategies perform:</w:t>
      </w:r>
    </w:p>
    <w:tbl>
      <w:tblPr>
        <w:tblW w:w="5000" w:type="pct"/>
        <w:tblCellMar>
          <w:left w:w="0" w:type="dxa"/>
          <w:right w:w="0" w:type="dxa"/>
        </w:tblCellMar>
        <w:tblLook w:val="04A0" w:firstRow="1" w:lastRow="0" w:firstColumn="1" w:lastColumn="0" w:noHBand="0" w:noVBand="1"/>
      </w:tblPr>
      <w:tblGrid>
        <w:gridCol w:w="2660"/>
        <w:gridCol w:w="1270"/>
        <w:gridCol w:w="1270"/>
        <w:gridCol w:w="1270"/>
        <w:gridCol w:w="1270"/>
        <w:gridCol w:w="1266"/>
      </w:tblGrid>
      <w:tr w:rsidR="007E5DD2" w:rsidTr="007E5DD2">
        <w:trPr>
          <w:trHeight w:hRule="exact" w:val="284"/>
        </w:trPr>
        <w:tc>
          <w:tcPr>
            <w:tcW w:w="147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 </w:t>
            </w:r>
          </w:p>
        </w:tc>
        <w:tc>
          <w:tcPr>
            <w:tcW w:w="70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B&amp;H</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10M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Multi Timing</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9.49%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9.84%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9.57%</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Volatility</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10.09%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6.62%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6.87%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6.14%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Skew</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-0.07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-0.51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Kurtosis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5.06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2.55</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1.30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Inflation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hideMark/>
          </w:tcPr>
          <w:p w:rsidR="007E5DD2" w:rsidRPr="007E5DD2" w:rsidRDefault="007E5DD2" w:rsidP="007E5DD2">
            <w:pPr>
              <w:rPr>
                <w:sz w:val="20"/>
                <w:szCs w:val="20"/>
              </w:rPr>
            </w:pPr>
            <w:r w:rsidRPr="007E5DD2">
              <w:rPr>
                <w:sz w:val="20"/>
                <w:szCs w:val="20"/>
              </w:rPr>
              <w:t>% in the Market</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100.00%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59.89%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65.48%</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70.81%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0.00%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 xml:space="preserve">% </w:t>
            </w:r>
            <w:r>
              <w:rPr>
                <w:sz w:val="20"/>
                <w:szCs w:val="20"/>
              </w:rPr>
              <w:t>P</w:t>
            </w:r>
            <w:r w:rsidRPr="007E5DD2">
              <w:rPr>
                <w:sz w:val="20"/>
                <w:szCs w:val="20"/>
              </w:rPr>
              <w:t>ositive Months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65.60%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71.27%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70.51%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Best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6.18%</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Worst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-19.34%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-7.96%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-6.11%</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-46.10%</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-13.29%</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-10.71%</w:t>
            </w:r>
          </w:p>
        </w:tc>
        <w:tc>
          <w:tcPr>
            <w:tcW w:w="705" w:type="pct"/>
            <w:tcBorders>
              <w:top w:val="nil"/>
              <w:left w:val="single" w:sz="8" w:space="0" w:color="auto"/>
              <w:bottom w:val="nil"/>
              <w:right w:val="single" w:sz="8" w:space="0" w:color="auto"/>
            </w:tcBorders>
            <w:shd w:val="clear" w:color="000000" w:fill="A7DAB6"/>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-9.56%</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-8.65%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 /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1.40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1.16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Sharpe Ratio (4.93%)</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0.41</w:t>
            </w:r>
          </w:p>
        </w:tc>
        <w:tc>
          <w:tcPr>
            <w:tcW w:w="705" w:type="pct"/>
            <w:tcBorders>
              <w:top w:val="nil"/>
              <w:left w:val="single" w:sz="8" w:space="0" w:color="auto"/>
              <w:bottom w:val="nil"/>
              <w:right w:val="single" w:sz="8" w:space="0" w:color="auto"/>
            </w:tcBorders>
            <w:shd w:val="clear" w:color="000000" w:fill="D4ECDD"/>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0.69</w:t>
            </w:r>
          </w:p>
        </w:tc>
        <w:tc>
          <w:tcPr>
            <w:tcW w:w="705" w:type="pct"/>
            <w:tcBorders>
              <w:top w:val="nil"/>
              <w:left w:val="single" w:sz="8" w:space="0" w:color="auto"/>
              <w:bottom w:val="nil"/>
              <w:right w:val="single" w:sz="8" w:space="0" w:color="auto"/>
            </w:tcBorders>
            <w:shd w:val="clear" w:color="000000" w:fill="FBDCD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0.62</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0.68</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0.72</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Sortino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0.42</w:t>
            </w:r>
          </w:p>
        </w:tc>
        <w:tc>
          <w:tcPr>
            <w:tcW w:w="705"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0.83</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MAR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0.20</w:t>
            </w:r>
          </w:p>
        </w:tc>
        <w:tc>
          <w:tcPr>
            <w:tcW w:w="705" w:type="pct"/>
            <w:tcBorders>
              <w:top w:val="nil"/>
              <w:left w:val="single" w:sz="8" w:space="0" w:color="auto"/>
              <w:bottom w:val="nil"/>
              <w:right w:val="single" w:sz="8" w:space="0" w:color="auto"/>
            </w:tcBorders>
            <w:shd w:val="clear" w:color="000000" w:fill="FBDADD"/>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0.87</w:t>
            </w:r>
          </w:p>
        </w:tc>
        <w:tc>
          <w:tcPr>
            <w:tcW w:w="705" w:type="pct"/>
            <w:tcBorders>
              <w:top w:val="nil"/>
              <w:left w:val="single" w:sz="8" w:space="0" w:color="auto"/>
              <w:bottom w:val="nil"/>
              <w:right w:val="single" w:sz="8" w:space="0" w:color="auto"/>
            </w:tcBorders>
            <w:shd w:val="clear" w:color="000000" w:fill="94D2A6"/>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1.11</w:t>
            </w:r>
          </w:p>
        </w:tc>
      </w:tr>
      <w:tr w:rsidR="007E5DD2" w:rsidTr="007E5DD2">
        <w:trPr>
          <w:trHeight w:hRule="exact" w:val="284"/>
        </w:trPr>
        <w:tc>
          <w:tcPr>
            <w:tcW w:w="147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Ulcer Index</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7.95</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2.39</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2.66</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2.36</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2.11</w:t>
            </w:r>
          </w:p>
        </w:tc>
      </w:tr>
    </w:tbl>
    <w:p w:rsidR="00FF23E2" w:rsidRDefault="00FF23E2" w:rsidP="00C77929">
      <w:pPr>
        <w:rPr>
          <w:noProof/>
          <w:lang w:eastAsia="en-AU"/>
        </w:rPr>
      </w:pPr>
    </w:p>
    <w:p w:rsidR="00F01CF4" w:rsidRDefault="00F01CF4" w:rsidP="00C77929">
      <w:r>
        <w:t xml:space="preserve">Similar to Faber’s findings, each timing signal returns individual performance with similar absolute returns, volatility and risk adjusted measures such as Sharpe Ratio. When combined into an equal weighted strategy, the </w:t>
      </w:r>
      <w:r w:rsidR="007E5DD2">
        <w:t>multi</w:t>
      </w:r>
      <w:r>
        <w:t xml:space="preserve"> timing </w:t>
      </w:r>
      <w:r w:rsidR="007E5DD2">
        <w:t xml:space="preserve">strategy </w:t>
      </w:r>
      <w:r>
        <w:t>show</w:t>
      </w:r>
      <w:r w:rsidR="007E5DD2">
        <w:t>s</w:t>
      </w:r>
      <w:r>
        <w:t xml:space="preserve"> similar absolute returns as expected from </w:t>
      </w:r>
      <w:r w:rsidR="001D5176">
        <w:t>Garnby’</w:t>
      </w:r>
      <w:r>
        <w:t>s findings. However volatility and maxdd</w:t>
      </w:r>
      <w:r w:rsidR="001D5176">
        <w:t xml:space="preserve"> </w:t>
      </w:r>
      <w:r>
        <w:t xml:space="preserve">are </w:t>
      </w:r>
      <w:r w:rsidR="003C1378">
        <w:t xml:space="preserve">the lowest </w:t>
      </w:r>
      <w:r>
        <w:t xml:space="preserve">and as a result risk adjusted measures such as Sharpe ratio, Sortino ratio, Calmar ratio and Ulcer index </w:t>
      </w:r>
      <w:r w:rsidR="007E5DD2">
        <w:t>are all the best</w:t>
      </w:r>
      <w:r>
        <w:t xml:space="preserve"> </w:t>
      </w:r>
    </w:p>
    <w:p w:rsidR="00F01CF4" w:rsidRDefault="00F01CF4" w:rsidP="00C77929">
      <w:r>
        <w:t xml:space="preserve">Diversification of strategies can also be applied to include the other </w:t>
      </w:r>
      <w:r w:rsidR="00FF16F6">
        <w:t>timing</w:t>
      </w:r>
      <w:r>
        <w:t xml:space="preserve"> strategy ideas. A</w:t>
      </w:r>
      <w:r w:rsidR="00912DF1">
        <w:t xml:space="preserve"> multi strategy portfolio consisting of equal weight exposure to the following strategies: </w:t>
      </w:r>
    </w:p>
    <w:p w:rsidR="00FF16F6" w:rsidRDefault="00F01CF4" w:rsidP="00FF16F6">
      <w:pPr>
        <w:pStyle w:val="ListParagraph"/>
        <w:numPr>
          <w:ilvl w:val="0"/>
          <w:numId w:val="21"/>
        </w:numPr>
      </w:pPr>
      <w:r>
        <w:lastRenderedPageBreak/>
        <w:t>2m, 5m, 10m timing signal</w:t>
      </w:r>
      <w:r w:rsidR="00FF16F6">
        <w:t xml:space="preserve"> strategies</w:t>
      </w:r>
    </w:p>
    <w:p w:rsidR="00FF16F6" w:rsidRDefault="00F01CF4" w:rsidP="00FF16F6">
      <w:pPr>
        <w:pStyle w:val="ListParagraph"/>
        <w:numPr>
          <w:ilvl w:val="0"/>
          <w:numId w:val="21"/>
        </w:numPr>
      </w:pPr>
      <w:r>
        <w:t>2m,</w:t>
      </w:r>
      <w:r w:rsidR="00FF16F6">
        <w:t xml:space="preserve"> 5m, 10m, delayed timing signal strategies </w:t>
      </w:r>
    </w:p>
    <w:p w:rsidR="00A83EE7" w:rsidRDefault="00FF16F6" w:rsidP="00FF16F6">
      <w:pPr>
        <w:pStyle w:val="ListParagraph"/>
        <w:numPr>
          <w:ilvl w:val="0"/>
          <w:numId w:val="21"/>
        </w:numPr>
      </w:pPr>
      <w:r>
        <w:t>2m, 5, 10m trading band strategies</w:t>
      </w:r>
      <w:r>
        <w:rPr>
          <w:noProof/>
          <w:lang w:eastAsia="en-AU"/>
        </w:rPr>
        <w:drawing>
          <wp:inline distT="0" distB="0" distL="0" distR="0" wp14:anchorId="63BEC717" wp14:editId="5FD4972C">
            <wp:extent cx="5731510" cy="295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8752" cy="2962598"/>
                    </a:xfrm>
                    <a:prstGeom prst="rect">
                      <a:avLst/>
                    </a:prstGeom>
                  </pic:spPr>
                </pic:pic>
              </a:graphicData>
            </a:graphic>
          </wp:inline>
        </w:drawing>
      </w:r>
    </w:p>
    <w:p w:rsidR="00747E44" w:rsidRDefault="00FF16F6" w:rsidP="00C77929">
      <w:r>
        <w:rPr>
          <w:noProof/>
          <w:lang w:eastAsia="en-AU"/>
        </w:rPr>
        <w:drawing>
          <wp:inline distT="0" distB="0" distL="0" distR="0" wp14:anchorId="3BE3EDAD" wp14:editId="4A306143">
            <wp:extent cx="5731510" cy="138022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909" cy="138417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FF16F6" w:rsidRPr="00747E44" w:rsidTr="00747E44">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Multi Strat</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8.80%</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6.87%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5.49%</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-0.33</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2.22</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70.81%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55.04%</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65.60%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72.02%</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6.18%</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-19.34%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-6.57%</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-46.10%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-9.56%</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-6.93%</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4.96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0.79</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0.41</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0.68</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0.67</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0.42</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0.73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0.85</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0.20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1.27</w:t>
            </w:r>
          </w:p>
        </w:tc>
      </w:tr>
      <w:tr w:rsidR="00FF16F6" w:rsidRPr="00747E44" w:rsidTr="00747E44">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7.95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2.36</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1.82</w:t>
            </w:r>
          </w:p>
        </w:tc>
      </w:tr>
    </w:tbl>
    <w:p w:rsidR="00747E44" w:rsidRDefault="00747E44" w:rsidP="00A83EE7"/>
    <w:p w:rsidR="00A83EE7" w:rsidRDefault="00A83EE7" w:rsidP="00A83EE7">
      <w:r>
        <w:t>Although absolute returns are less but nearly a whole percentage point, lowering the volatility and max drawdown potentially allows the investor to take on more leverage to achieve enhanced total returns.</w:t>
      </w:r>
    </w:p>
    <w:p w:rsidR="00C77929" w:rsidRPr="003442F1" w:rsidRDefault="001B693D" w:rsidP="00C77929">
      <w:pPr>
        <w:rPr>
          <w:color w:val="FF0000"/>
        </w:rPr>
      </w:pPr>
      <w:r w:rsidRPr="003442F1">
        <w:rPr>
          <w:color w:val="FF0000"/>
        </w:rPr>
        <w:lastRenderedPageBreak/>
        <w:t>Note the above numbers exclude trading costs / taxes / etc talked about</w:t>
      </w:r>
      <w:r w:rsidR="00747E44" w:rsidRPr="003442F1">
        <w:rPr>
          <w:color w:val="FF0000"/>
        </w:rPr>
        <w:t xml:space="preserve"> in practical considerations. </w:t>
      </w:r>
      <w:r w:rsidR="00A83EE7" w:rsidRPr="003442F1">
        <w:rPr>
          <w:color w:val="FF0000"/>
        </w:rPr>
        <w:t>Lastly all of the above i</w:t>
      </w:r>
      <w:r w:rsidR="00185A31" w:rsidRPr="003442F1">
        <w:rPr>
          <w:color w:val="FF0000"/>
        </w:rPr>
        <w:t>gnores trading fees</w:t>
      </w:r>
      <w:r w:rsidR="00A83EE7" w:rsidRPr="003442F1">
        <w:rPr>
          <w:color w:val="FF0000"/>
        </w:rPr>
        <w:t>…</w:t>
      </w:r>
      <w:r w:rsidR="00017E0A" w:rsidRPr="003442F1">
        <w:rPr>
          <w:color w:val="FF0000"/>
        </w:rPr>
        <w:t xml:space="preserve"> Downside is costs/taxes however with these assets trading costs are assumed to be minimal and worth the better returns. Taxes also are fine – fabers comments about winners being longer, etc.</w:t>
      </w:r>
    </w:p>
    <w:p w:rsidR="00A83EE7" w:rsidRDefault="00A83EE7" w:rsidP="00C77929"/>
    <w:p w:rsidR="00C77929" w:rsidRPr="00C73218" w:rsidRDefault="00C77929" w:rsidP="00C77929">
      <w:pPr>
        <w:pStyle w:val="ListParagraph"/>
        <w:rPr>
          <w:rFonts w:asciiTheme="majorHAnsi" w:eastAsiaTheme="majorEastAsia" w:hAnsiTheme="majorHAnsi" w:cstheme="majorBidi"/>
          <w:color w:val="2F5496" w:themeColor="accent1" w:themeShade="BF"/>
          <w:sz w:val="26"/>
          <w:szCs w:val="26"/>
        </w:rPr>
      </w:pP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28" w:name="_Toc478417193"/>
      <w:r>
        <w:lastRenderedPageBreak/>
        <w:t>A Quantitative Approach t</w:t>
      </w:r>
      <w:r w:rsidR="00864C76">
        <w:t>o Tactical Asset Allocation in South Africa</w:t>
      </w:r>
      <w:bookmarkEnd w:id="28"/>
    </w:p>
    <w:p w:rsidR="00864C76" w:rsidRDefault="00864C76" w:rsidP="00864C76">
      <w:r>
        <w:t xml:space="preserve">South Africa has a very traditional investment industry that has lagged the world adopting recent investment trends such as indexation </w:t>
      </w:r>
      <w:r w:rsidRPr="001B693D">
        <w:rPr>
          <w:highlight w:val="yellow"/>
        </w:rPr>
        <w:t>(Morningstar 2015).</w:t>
      </w:r>
      <w:r>
        <w:t xml:space="preserve"> It is estimated that </w:t>
      </w:r>
      <w:r w:rsidRPr="00A42118">
        <w:rPr>
          <w:color w:val="FF0000"/>
        </w:rPr>
        <w:t xml:space="preserve">X% </w:t>
      </w:r>
      <w:r>
        <w:t xml:space="preserve">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29" w:name="_Toc478417194"/>
      <w:r>
        <w:t>Data</w:t>
      </w:r>
      <w:bookmarkEnd w:id="29"/>
    </w:p>
    <w:p w:rsidR="00864C76" w:rsidRDefault="00864C76" w:rsidP="00864C76">
      <w:r>
        <w:t>The biggest challenge to apply the strategy to South Africa is obtaining a long enough period of historical price data for each asset class in South Africa</w:t>
      </w:r>
      <w:r w:rsidR="00330137">
        <w:t xml:space="preserve">. </w:t>
      </w:r>
      <w:sdt>
        <w:sdtPr>
          <w:id w:val="86971206"/>
          <w:citation/>
        </w:sdtPr>
        <w:sdtContent>
          <w:r w:rsidR="00330137">
            <w:fldChar w:fldCharType="begin"/>
          </w:r>
          <w:r w:rsidR="00330137">
            <w:instrText xml:space="preserve"> CITATION Ibb16 \l 3081 </w:instrText>
          </w:r>
          <w:r w:rsidR="00330137">
            <w:fldChar w:fldCharType="separate"/>
          </w:r>
          <w:r w:rsidR="00330137" w:rsidRPr="00330137">
            <w:rPr>
              <w:noProof/>
            </w:rPr>
            <w:t>(all, 2016)</w:t>
          </w:r>
          <w:r w:rsidR="00330137">
            <w:fldChar w:fldCharType="end"/>
          </w:r>
        </w:sdtContent>
      </w:sdt>
      <w:r w:rsidRPr="001B693D">
        <w:rPr>
          <w:highlight w:val="yellow"/>
        </w:rPr>
        <w:t>. Ibbotson et al (2016)</w:t>
      </w:r>
      <w:r>
        <w:t xml:space="preserve">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 xml:space="preserve">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w:t>
      </w:r>
      <w:r w:rsidRPr="001B693D">
        <w:rPr>
          <w:highlight w:val="yellow"/>
        </w:rPr>
        <w:t>(Firer and McLeod, 1999)</w:t>
      </w:r>
      <w:r>
        <w:t xml:space="preserve">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51156E" w:rsidP="00912DF1">
      <w:pPr>
        <w:pStyle w:val="Heading2"/>
      </w:pPr>
      <w:bookmarkStart w:id="30" w:name="_Toc478417195"/>
      <w:r>
        <w:t xml:space="preserve">South African </w:t>
      </w:r>
      <w:r w:rsidR="00912DF1">
        <w:t>Asset Class R</w:t>
      </w:r>
      <w:r w:rsidR="00864C76">
        <w:t xml:space="preserve">eturns </w:t>
      </w:r>
      <w:r>
        <w:t>excluding Real Estate (</w:t>
      </w:r>
      <w:r w:rsidR="00864C76">
        <w:t>1971-2016</w:t>
      </w:r>
      <w:r>
        <w:t>)</w:t>
      </w:r>
      <w:bookmarkEnd w:id="30"/>
    </w:p>
    <w:p w:rsidR="00912DF1" w:rsidRDefault="00912DF1" w:rsidP="00912DF1">
      <w:r w:rsidRPr="005A44F5">
        <w:rPr>
          <w:color w:val="FF0000"/>
        </w:rPr>
        <w:t>[</w:t>
      </w:r>
      <w:r>
        <w:rPr>
          <w:color w:val="FF0000"/>
        </w:rPr>
        <w:t>redo with log charts]</w:t>
      </w:r>
    </w:p>
    <w:p w:rsidR="00864C76" w:rsidRDefault="00912DF1" w:rsidP="00864C76">
      <w:r>
        <w:rPr>
          <w:noProof/>
          <w:lang w:eastAsia="en-AU"/>
        </w:rPr>
        <w:drawing>
          <wp:inline distT="0" distB="0" distL="0" distR="0" wp14:anchorId="45A07EDB" wp14:editId="2C82B883">
            <wp:extent cx="5731510" cy="353758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p>
    <w:tbl>
      <w:tblPr>
        <w:tblW w:w="9100" w:type="dxa"/>
        <w:tblLayout w:type="fixed"/>
        <w:tblCellMar>
          <w:left w:w="0" w:type="dxa"/>
          <w:right w:w="0" w:type="dxa"/>
        </w:tblCellMar>
        <w:tblLook w:val="04A0" w:firstRow="1" w:lastRow="0" w:firstColumn="1" w:lastColumn="0" w:noHBand="0" w:noVBand="1"/>
      </w:tblPr>
      <w:tblGrid>
        <w:gridCol w:w="1516"/>
        <w:gridCol w:w="1517"/>
        <w:gridCol w:w="1517"/>
        <w:gridCol w:w="1516"/>
        <w:gridCol w:w="1517"/>
        <w:gridCol w:w="1517"/>
      </w:tblGrid>
      <w:tr w:rsidR="00912DF1" w:rsidTr="00912DF1">
        <w:trPr>
          <w:trHeight w:hRule="exact" w:val="284"/>
        </w:trPr>
        <w:tc>
          <w:tcPr>
            <w:tcW w:w="1516"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 </w:t>
            </w:r>
          </w:p>
        </w:tc>
        <w:tc>
          <w:tcPr>
            <w:tcW w:w="1517"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TBILLS</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JALSH</w:t>
            </w:r>
          </w:p>
        </w:tc>
        <w:tc>
          <w:tcPr>
            <w:tcW w:w="1516"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MSCIWORLD</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SA10YR</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GSCI</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Return</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18.48%</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15.87%</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13.60%</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Volatility</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1.26%</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20.99%</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17.42%</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7.35%</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22.88%</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Sharpe (10.53%)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0.34</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0.28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0.12</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MaxDD</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-42.45%</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-49.90%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-18.63%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-64.08%</w:t>
            </w:r>
          </w:p>
        </w:tc>
      </w:tr>
      <w:tr w:rsidR="00912DF1" w:rsidTr="00912DF1">
        <w:trPr>
          <w:trHeight w:hRule="exact" w:val="284"/>
        </w:trPr>
        <w:tc>
          <w:tcPr>
            <w:tcW w:w="1516"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Inflation CAGR</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r>
    </w:tbl>
    <w:p w:rsidR="00912DF1" w:rsidRDefault="00912DF1" w:rsidP="00864C76"/>
    <w:p w:rsidR="00912DF1" w:rsidRDefault="00912DF1" w:rsidP="00864C76">
      <w:r w:rsidRPr="005A44F5">
        <w:rPr>
          <w:color w:val="FF0000"/>
        </w:rPr>
        <w:t>[rewrite</w:t>
      </w:r>
      <w:r>
        <w:rPr>
          <w:color w:val="FF0000"/>
        </w:rPr>
        <w:t xml:space="preserve"> summary and compare to US]</w:t>
      </w:r>
    </w:p>
    <w:p w:rsidR="00864C76" w:rsidRPr="004204FD" w:rsidRDefault="00912DF1" w:rsidP="00912DF1">
      <w:r>
        <w:t>Reviewing the performance of asset classes in South Africa during 1972 – 2016, d</w:t>
      </w:r>
      <w:r w:rsidR="00864C76">
        <w:t xml:space="preserve">omestic equities have the </w:t>
      </w:r>
      <w:r>
        <w:t xml:space="preserve">strongest </w:t>
      </w:r>
      <w:r w:rsidR="005A44F5">
        <w:t xml:space="preserve">absolute </w:t>
      </w:r>
      <w:r>
        <w:t xml:space="preserve">CAGR </w:t>
      </w:r>
      <w:r w:rsidR="005A44F5">
        <w:t>of 18.48</w:t>
      </w:r>
      <w:r w:rsidR="00864C76">
        <w:t>% followe</w:t>
      </w:r>
      <w:r w:rsidR="005A44F5">
        <w:t>d by foreign equities with 15.87</w:t>
      </w:r>
      <w:r w:rsidR="00864C76">
        <w:t>%</w:t>
      </w:r>
      <w:r>
        <w:t>. C</w:t>
      </w:r>
      <w:r w:rsidR="005A44F5">
        <w:t>ommodities still return 13.60</w:t>
      </w:r>
      <w:r w:rsidR="00864C76">
        <w:t xml:space="preserve">% </w:t>
      </w:r>
      <w:r>
        <w:t xml:space="preserve">for the period, highlighting the currency hedging effect a </w:t>
      </w:r>
      <w:r w:rsidR="00864C76">
        <w:t xml:space="preserve">weakening </w:t>
      </w:r>
      <w:r>
        <w:t xml:space="preserve">ZAR has </w:t>
      </w:r>
      <w:r w:rsidR="00864C76">
        <w:t xml:space="preserve">boosting returns in local </w:t>
      </w:r>
      <w:r>
        <w:t>currency</w:t>
      </w:r>
      <w:r w:rsidR="00864C76">
        <w:t>.</w:t>
      </w:r>
      <w:r>
        <w:t xml:space="preserve"> It’s also noteworthy that SA has m</w:t>
      </w:r>
      <w:r w:rsidR="00864C76">
        <w:t xml:space="preserve">uch higher inflation and risk free rate than the original US </w:t>
      </w:r>
      <w:r>
        <w:t>asset allocation.</w:t>
      </w:r>
    </w:p>
    <w:p w:rsidR="00864C76" w:rsidRDefault="00864C76" w:rsidP="00864C76">
      <w:pPr>
        <w:pStyle w:val="Heading2"/>
      </w:pPr>
      <w:bookmarkStart w:id="31" w:name="_Toc478417196"/>
      <w:r>
        <w:t>Timing Signal</w:t>
      </w:r>
      <w:bookmarkEnd w:id="31"/>
    </w:p>
    <w:p w:rsidR="00864C76" w:rsidRDefault="00864C76" w:rsidP="00864C76">
      <w:r>
        <w:t xml:space="preserve">Let’s look at the asset returns individually and how the timing signal affect returns. </w:t>
      </w:r>
      <w:r w:rsidR="00912DF1">
        <w:t>It’s</w:t>
      </w:r>
      <w:r>
        <w:t xml:space="preserve"> interesting to note with South Africa assets that the timing model consistently resulted in better risk adjusted returns, usually by a reduction in volatility than better absolute returns. JALSH was an exception – </w:t>
      </w:r>
      <w:r w:rsidR="00912DF1">
        <w:t>it had a worse MaxDD and equal S</w:t>
      </w:r>
      <w:r>
        <w:t>harpe</w:t>
      </w:r>
      <w:r w:rsidR="00912DF1">
        <w:t xml:space="preserve"> Ratio</w:t>
      </w:r>
      <w:r>
        <w:t xml:space="preserve">. </w:t>
      </w:r>
      <w:r w:rsidRPr="005A44F5">
        <w:rPr>
          <w:color w:val="FF0000"/>
        </w:rPr>
        <w:t>[</w:t>
      </w:r>
      <w:r w:rsidR="005A44F5" w:rsidRPr="005A44F5">
        <w:rPr>
          <w:color w:val="FF0000"/>
        </w:rPr>
        <w:t xml:space="preserve">rewrite and </w:t>
      </w:r>
      <w:r w:rsidRPr="005A44F5">
        <w:rPr>
          <w:color w:val="FF0000"/>
        </w:rPr>
        <w:t>mention this is where using multiple period moving averages</w:t>
      </w:r>
      <w:r w:rsidR="00A42118">
        <w:rPr>
          <w:color w:val="FF0000"/>
        </w:rPr>
        <w:t xml:space="preserve"> or delayed entry</w:t>
      </w:r>
      <w:r w:rsidRPr="005A44F5">
        <w:rPr>
          <w:color w:val="FF0000"/>
        </w:rPr>
        <w:t xml:space="preserve">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32" w:name="_Toc478417197"/>
      <w:r>
        <w:lastRenderedPageBreak/>
        <w:t>JALSH</w:t>
      </w:r>
      <w:r w:rsidR="00330137">
        <w:t xml:space="preserve"> – South African Domestic Equities</w:t>
      </w:r>
      <w:bookmarkEnd w:id="32"/>
    </w:p>
    <w:p w:rsidR="00864C76" w:rsidRDefault="004423BE" w:rsidP="00864C76">
      <w:pPr>
        <w:rPr>
          <w:noProof/>
          <w:lang w:eastAsia="en-AU"/>
        </w:rPr>
      </w:pPr>
      <w:r>
        <w:rPr>
          <w:noProof/>
          <w:lang w:eastAsia="en-AU"/>
        </w:rPr>
        <w:drawing>
          <wp:inline distT="0" distB="0" distL="0" distR="0" wp14:anchorId="6898BBA7" wp14:editId="7C2DEA43">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r w:rsidR="00864C76" w:rsidRPr="002C6FA9">
        <w:rPr>
          <w:noProof/>
          <w:lang w:eastAsia="en-AU"/>
        </w:rPr>
        <w:t xml:space="preserve"> </w:t>
      </w:r>
      <w:r>
        <w:rPr>
          <w:noProof/>
          <w:lang w:eastAsia="en-AU"/>
        </w:rPr>
        <w:drawing>
          <wp:inline distT="0" distB="0" distL="0" distR="0" wp14:anchorId="64109954" wp14:editId="74748B0F">
            <wp:extent cx="5731510" cy="96615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6166" cy="972000"/>
                    </a:xfrm>
                    <a:prstGeom prst="rect">
                      <a:avLst/>
                    </a:prstGeom>
                  </pic:spPr>
                </pic:pic>
              </a:graphicData>
            </a:graphic>
          </wp:inline>
        </w:drawing>
      </w:r>
      <w:r w:rsidR="00E23ADF">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18.64%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16.13%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16.12%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16.34%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18.29%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17.50%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20.99%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17.26%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15.96%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14.90%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13.36%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-0.28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0.01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0.20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4.40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3.04</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2.57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2.66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75.42%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69.32%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73.75%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69.38%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62.88%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61.92%</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71.53%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74.12%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71.90%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69.87%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71.16%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18.28%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17.18%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-29.58%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-29.58%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-23.41%</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-23.41%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-19.19%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-15.37%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-42.45%</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-47.02%</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-42.34%</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-48.98%</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-29.30%</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-29.16%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2.28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2.63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3.00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0.34</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0.30</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0.47</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0.45</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0.49</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0.71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0.34</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0.62</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0.60</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13.12</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16.58</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14.63</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16.47</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9.07</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8.52</w:t>
            </w:r>
          </w:p>
        </w:tc>
      </w:tr>
    </w:tbl>
    <w:p w:rsidR="00F778DB" w:rsidRDefault="00F778DB" w:rsidP="00864C76">
      <w:pPr>
        <w:rPr>
          <w:noProof/>
          <w:lang w:eastAsia="en-AU"/>
        </w:rPr>
      </w:pPr>
    </w:p>
    <w:p w:rsidR="004423BE" w:rsidRDefault="004423BE" w:rsidP="00864C76">
      <w:pPr>
        <w:rPr>
          <w:noProof/>
          <w:lang w:eastAsia="en-AU"/>
        </w:rPr>
      </w:pPr>
    </w:p>
    <w:p w:rsidR="00864C76" w:rsidRDefault="00864C76" w:rsidP="00864C76"/>
    <w:p w:rsidR="00C02256" w:rsidRDefault="00C02256">
      <w:pPr>
        <w:rPr>
          <w:color w:val="FF0000"/>
        </w:rPr>
      </w:pPr>
      <w:r>
        <w:rPr>
          <w:color w:val="FF0000"/>
        </w:rPr>
        <w:br w:type="page"/>
      </w:r>
    </w:p>
    <w:p w:rsidR="00864C76" w:rsidRDefault="00864C76" w:rsidP="00864C76">
      <w:pPr>
        <w:pStyle w:val="Heading3"/>
      </w:pPr>
      <w:bookmarkStart w:id="33" w:name="_Toc478417198"/>
      <w:r>
        <w:lastRenderedPageBreak/>
        <w:t>MSCI WORLD</w:t>
      </w:r>
      <w:r w:rsidR="00330137">
        <w:t xml:space="preserve"> – Foreign Developed Equities (in local currency ZAR)</w:t>
      </w:r>
      <w:bookmarkEnd w:id="33"/>
    </w:p>
    <w:p w:rsidR="00864C76" w:rsidRDefault="004423BE" w:rsidP="00864C76">
      <w:pPr>
        <w:rPr>
          <w:noProof/>
          <w:lang w:eastAsia="en-AU"/>
        </w:rPr>
      </w:pPr>
      <w:r>
        <w:rPr>
          <w:noProof/>
          <w:lang w:eastAsia="en-AU"/>
        </w:rPr>
        <w:drawing>
          <wp:inline distT="0" distB="0" distL="0" distR="0" wp14:anchorId="14ABA9DF" wp14:editId="37726194">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4423BE" w:rsidP="00864C76">
      <w:pPr>
        <w:rPr>
          <w:noProof/>
          <w:lang w:eastAsia="en-AU"/>
        </w:rPr>
      </w:pPr>
      <w:r>
        <w:rPr>
          <w:noProof/>
          <w:lang w:eastAsia="en-AU"/>
        </w:rPr>
        <w:drawing>
          <wp:inline distT="0" distB="0" distL="0" distR="0" wp14:anchorId="054DB10C" wp14:editId="5147F3E4">
            <wp:extent cx="5731510" cy="141473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054" cy="1421531"/>
                    </a:xfrm>
                    <a:prstGeom prst="rect">
                      <a:avLst/>
                    </a:prstGeom>
                  </pic:spPr>
                </pic:pic>
              </a:graphicData>
            </a:graphic>
          </wp:inline>
        </w:drawing>
      </w:r>
      <w:r w:rsidR="00864C76" w:rsidRPr="00603345">
        <w:rPr>
          <w:noProof/>
          <w:lang w:eastAsia="en-AU"/>
        </w:rPr>
        <w:t xml:space="preserve"> </w:t>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16.25%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17.33%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17.22%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15.86%</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15.79%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15.07%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14.55%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13.53%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12.28%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5.86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6.83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10.45</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77.45%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71.90%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73.20%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70.92%</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61.72%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62.85%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75.79%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75.60%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71.72%</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74.49%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-49.90%</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-19.17%</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0.28</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0.41</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0.41</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0.64</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0.66</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0.84</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0.84</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0.83</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0.83</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0.98</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17.14</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6.06</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5.16</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5.64</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6.17</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4.22</w:t>
            </w:r>
          </w:p>
        </w:tc>
      </w:tr>
    </w:tbl>
    <w:p w:rsidR="00864C76" w:rsidRDefault="00864C76" w:rsidP="00864C76">
      <w:pPr>
        <w:rPr>
          <w:noProof/>
          <w:lang w:eastAsia="en-AU"/>
        </w:rPr>
      </w:pPr>
    </w:p>
    <w:p w:rsidR="00864C76" w:rsidRDefault="00864C76" w:rsidP="00864C76">
      <w:pPr>
        <w:pStyle w:val="Heading3"/>
      </w:pPr>
      <w:bookmarkStart w:id="34" w:name="_Toc478417199"/>
      <w:r>
        <w:lastRenderedPageBreak/>
        <w:t>SA10YR</w:t>
      </w:r>
      <w:bookmarkEnd w:id="34"/>
    </w:p>
    <w:p w:rsidR="00864C76" w:rsidRDefault="004423BE" w:rsidP="00864C76">
      <w:pPr>
        <w:rPr>
          <w:noProof/>
          <w:lang w:eastAsia="en-AU"/>
        </w:rPr>
      </w:pPr>
      <w:r>
        <w:rPr>
          <w:noProof/>
          <w:lang w:eastAsia="en-AU"/>
        </w:rPr>
        <w:drawing>
          <wp:inline distT="0" distB="0" distL="0" distR="0" wp14:anchorId="3969D46D" wp14:editId="43ABF174">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p w:rsidR="00864C76" w:rsidRDefault="004423BE" w:rsidP="00864C76">
      <w:pPr>
        <w:rPr>
          <w:noProof/>
          <w:lang w:eastAsia="en-AU"/>
        </w:rPr>
      </w:pPr>
      <w:r>
        <w:rPr>
          <w:noProof/>
          <w:lang w:eastAsia="en-AU"/>
        </w:rPr>
        <w:drawing>
          <wp:inline distT="0" distB="0" distL="0" distR="0" wp14:anchorId="15CF7ED4" wp14:editId="2DE7A0D6">
            <wp:extent cx="5731510" cy="139747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920" cy="1405138"/>
                    </a:xfrm>
                    <a:prstGeom prst="rect">
                      <a:avLst/>
                    </a:prstGeom>
                  </pic:spPr>
                </pic:pic>
              </a:graphicData>
            </a:graphic>
          </wp:inline>
        </w:drawing>
      </w:r>
      <w:r w:rsidR="00864C76" w:rsidRPr="00603345">
        <w:rPr>
          <w:noProof/>
          <w:lang w:eastAsia="en-AU"/>
        </w:rPr>
        <w:t xml:space="preserve"> </w:t>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12.53%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13.28%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12.80%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6.50%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6.32%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5.93%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5.27%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1.82</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2.71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3.64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87.43%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83.36%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80.28%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67.53%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77.82%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78.93%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80.22%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80.96%</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84.47%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10.14%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-5.14%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-18.63%</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-7.06%</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0.18</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0.23</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0.23</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0.29</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0.42</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1.05</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1.17</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1.49</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0.64</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1.10</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1.88</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2.08</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3.47</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2.70</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2.51</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2.28</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1.48</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w:t>
            </w:r>
          </w:p>
        </w:tc>
      </w:tr>
    </w:tbl>
    <w:p w:rsidR="00864C76" w:rsidRDefault="00864C76" w:rsidP="00864C76">
      <w:pPr>
        <w:pStyle w:val="Heading3"/>
      </w:pPr>
      <w:bookmarkStart w:id="35" w:name="_Toc478417200"/>
      <w:r>
        <w:lastRenderedPageBreak/>
        <w:t>GSCI</w:t>
      </w:r>
      <w:r w:rsidR="00330137">
        <w:t xml:space="preserve"> – Commodities Index (in local currency ZAR)</w:t>
      </w:r>
      <w:bookmarkEnd w:id="35"/>
    </w:p>
    <w:p w:rsidR="00864C76" w:rsidRDefault="003378FC" w:rsidP="00864C76">
      <w:pPr>
        <w:rPr>
          <w:noProof/>
          <w:lang w:eastAsia="en-AU"/>
        </w:rPr>
      </w:pPr>
      <w:r>
        <w:rPr>
          <w:noProof/>
          <w:lang w:eastAsia="en-AU"/>
        </w:rPr>
        <w:drawing>
          <wp:inline distT="0" distB="0" distL="0" distR="0" wp14:anchorId="1D2EC82A" wp14:editId="5B9F3826">
            <wp:extent cx="5731510" cy="3537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37585"/>
                    </a:xfrm>
                    <a:prstGeom prst="rect">
                      <a:avLst/>
                    </a:prstGeom>
                  </pic:spPr>
                </pic:pic>
              </a:graphicData>
            </a:graphic>
          </wp:inline>
        </w:drawing>
      </w:r>
      <w:r w:rsidR="00864C76" w:rsidRPr="00603345">
        <w:rPr>
          <w:noProof/>
          <w:lang w:eastAsia="en-AU"/>
        </w:rPr>
        <w:t xml:space="preserve"> </w:t>
      </w:r>
      <w:r>
        <w:rPr>
          <w:noProof/>
          <w:lang w:eastAsia="en-AU"/>
        </w:rPr>
        <w:drawing>
          <wp:inline distT="0" distB="0" distL="0" distR="0" wp14:anchorId="317D7B43" wp14:editId="30E13C04">
            <wp:extent cx="5731510" cy="14492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9840" cy="1451344"/>
                    </a:xfrm>
                    <a:prstGeom prst="rect">
                      <a:avLst/>
                    </a:prstGeom>
                  </pic:spPr>
                </pic:pic>
              </a:graphicData>
            </a:graphic>
          </wp:inline>
        </w:drawing>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3378FC" w:rsidP="004423BE">
            <w:pPr>
              <w:jc w:val="center"/>
              <w:rPr>
                <w:rFonts w:ascii="Calibri" w:hAnsi="Calibri" w:cs="Calibri"/>
                <w:color w:val="000000"/>
                <w:sz w:val="20"/>
                <w:szCs w:val="20"/>
              </w:rPr>
            </w:pPr>
            <w:r>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13.42%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11.16%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15.49%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22.91%</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19.04%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17.38%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18.75%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15.22%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0.21</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4.13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3.58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4.31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69.32%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62.29%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65.62%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64.94%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56.48%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59.89%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72.46%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74.68%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73.38%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70.24%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71.90%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25.90%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22.72%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-64.08%</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-33.50%</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-38.71%</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-32.06%</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-30.96%</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-24.64%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4.63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3.47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2.65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0.12</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0.13</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0.06</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0.35</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0.51</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0.22</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0.40</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0.29</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0.57</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30.20</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12.36</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14.62</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13.72</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8.98</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7.86</w:t>
            </w:r>
          </w:p>
        </w:tc>
      </w:tr>
    </w:tbl>
    <w:p w:rsidR="004423BE" w:rsidRDefault="004423BE" w:rsidP="00864C76">
      <w:pPr>
        <w:rPr>
          <w:noProof/>
          <w:lang w:eastAsia="en-AU"/>
        </w:rPr>
      </w:pPr>
    </w:p>
    <w:p w:rsidR="00864C76" w:rsidRPr="003442F1" w:rsidRDefault="003442F1" w:rsidP="00864C76">
      <w:pPr>
        <w:rPr>
          <w:color w:val="FF0000"/>
        </w:rPr>
      </w:pPr>
      <w:r>
        <w:rPr>
          <w:color w:val="FF0000"/>
        </w:rPr>
        <w:lastRenderedPageBreak/>
        <w:t>Add c</w:t>
      </w:r>
      <w:r w:rsidR="00864C76" w:rsidRPr="003442F1">
        <w:rPr>
          <w:color w:val="FF0000"/>
        </w:rPr>
        <w:t>ommentary</w:t>
      </w:r>
      <w:r>
        <w:rPr>
          <w:color w:val="FF0000"/>
        </w:rPr>
        <w:t xml:space="preserve"> summary for all assets</w:t>
      </w:r>
      <w:r w:rsidR="00864C76" w:rsidRPr="003442F1">
        <w:rPr>
          <w:color w:val="FF0000"/>
        </w:rPr>
        <w:t>:</w:t>
      </w:r>
    </w:p>
    <w:p w:rsidR="00864C76" w:rsidRPr="003442F1" w:rsidRDefault="00864C76" w:rsidP="00864C76">
      <w:pPr>
        <w:pStyle w:val="ListParagraph"/>
        <w:numPr>
          <w:ilvl w:val="0"/>
          <w:numId w:val="2"/>
        </w:numPr>
        <w:rPr>
          <w:color w:val="FF0000"/>
        </w:rPr>
      </w:pPr>
      <w:r w:rsidRPr="003442F1">
        <w:rPr>
          <w:color w:val="FF0000"/>
        </w:rPr>
        <w:t xml:space="preserve">Again slightly less CAGR but less volatility and higher sharp / lower drawdown. </w:t>
      </w:r>
    </w:p>
    <w:p w:rsidR="003D4BD5" w:rsidRPr="003442F1" w:rsidRDefault="003D4BD5" w:rsidP="003D4BD5">
      <w:pPr>
        <w:pStyle w:val="ListParagraph"/>
        <w:numPr>
          <w:ilvl w:val="0"/>
          <w:numId w:val="2"/>
        </w:numPr>
        <w:rPr>
          <w:color w:val="FF0000"/>
        </w:rPr>
      </w:pPr>
      <w:r w:rsidRPr="003442F1">
        <w:rPr>
          <w:color w:val="FF0000"/>
        </w:rPr>
        <w:t>Interesting drawdown is the same – unusual for this strategy but have checked its real</w:t>
      </w:r>
    </w:p>
    <w:p w:rsidR="003D4BD5" w:rsidRPr="003442F1" w:rsidRDefault="003D4BD5" w:rsidP="003D4BD5">
      <w:pPr>
        <w:pStyle w:val="ListParagraph"/>
        <w:numPr>
          <w:ilvl w:val="0"/>
          <w:numId w:val="2"/>
        </w:numPr>
        <w:rPr>
          <w:color w:val="FF0000"/>
        </w:rPr>
      </w:pPr>
      <w:r w:rsidRPr="003442F1">
        <w:rPr>
          <w:color w:val="FF0000"/>
        </w:rPr>
        <w:t>Timing model doesn’t add much value in this case</w:t>
      </w:r>
    </w:p>
    <w:p w:rsidR="003D4BD5" w:rsidRPr="003442F1" w:rsidRDefault="003D4BD5" w:rsidP="003D4BD5">
      <w:pPr>
        <w:pStyle w:val="ListParagraph"/>
        <w:numPr>
          <w:ilvl w:val="0"/>
          <w:numId w:val="2"/>
        </w:numPr>
        <w:rPr>
          <w:color w:val="FF0000"/>
        </w:rPr>
      </w:pPr>
      <w:r w:rsidRPr="003442F1">
        <w:rPr>
          <w:color w:val="FF0000"/>
        </w:rPr>
        <w:t xml:space="preserve">There is always exceptions to any rule and it appears JALSH bucks the trend with the timing model not return significantly better risk adjusted returns. Analysing why – 1988 </w:t>
      </w:r>
    </w:p>
    <w:p w:rsidR="003D4BD5" w:rsidRPr="003442F1" w:rsidRDefault="003D4BD5" w:rsidP="003D4BD5">
      <w:pPr>
        <w:pStyle w:val="ListParagraph"/>
        <w:numPr>
          <w:ilvl w:val="0"/>
          <w:numId w:val="2"/>
        </w:numPr>
        <w:rPr>
          <w:color w:val="FF0000"/>
        </w:rPr>
      </w:pPr>
      <w:r w:rsidRPr="003442F1">
        <w:rPr>
          <w:color w:val="FF0000"/>
        </w:rPr>
        <w:t>Demonstrates power of compounding after an early loss</w:t>
      </w:r>
    </w:p>
    <w:p w:rsidR="003D4BD5" w:rsidRPr="003442F1" w:rsidRDefault="003D4BD5" w:rsidP="003D4BD5">
      <w:pPr>
        <w:pStyle w:val="ListParagraph"/>
        <w:numPr>
          <w:ilvl w:val="0"/>
          <w:numId w:val="2"/>
        </w:numPr>
        <w:rPr>
          <w:color w:val="FF0000"/>
        </w:rPr>
      </w:pPr>
      <w:r w:rsidRPr="003442F1">
        <w:rPr>
          <w:color w:val="FF0000"/>
        </w:rPr>
        <w:t>Much better results for the timing model in all performance measures</w:t>
      </w:r>
    </w:p>
    <w:p w:rsidR="003D4BD5" w:rsidRPr="003442F1" w:rsidRDefault="003D4BD5" w:rsidP="003D4BD5">
      <w:pPr>
        <w:pStyle w:val="ListParagraph"/>
        <w:numPr>
          <w:ilvl w:val="0"/>
          <w:numId w:val="2"/>
        </w:numPr>
        <w:rPr>
          <w:color w:val="FF0000"/>
        </w:rPr>
      </w:pPr>
      <w:r w:rsidRPr="003442F1">
        <w:rPr>
          <w:color w:val="FF0000"/>
        </w:rPr>
        <w:t>Much better results for the timing model in all performance measures</w:t>
      </w:r>
    </w:p>
    <w:p w:rsidR="003D4BD5" w:rsidRPr="003442F1" w:rsidRDefault="003D4BD5" w:rsidP="003D4BD5">
      <w:pPr>
        <w:pStyle w:val="ListParagraph"/>
        <w:numPr>
          <w:ilvl w:val="0"/>
          <w:numId w:val="2"/>
        </w:numPr>
        <w:rPr>
          <w:color w:val="FF0000"/>
        </w:rPr>
      </w:pPr>
      <w:r w:rsidRPr="003442F1">
        <w:rPr>
          <w:color w:val="FF0000"/>
        </w:rPr>
        <w:t xml:space="preserve">Most measures better. </w:t>
      </w:r>
    </w:p>
    <w:p w:rsidR="003D4BD5" w:rsidRPr="003442F1" w:rsidRDefault="003D4BD5" w:rsidP="003D4BD5">
      <w:pPr>
        <w:pStyle w:val="ListParagraph"/>
        <w:numPr>
          <w:ilvl w:val="0"/>
          <w:numId w:val="2"/>
        </w:numPr>
        <w:rPr>
          <w:color w:val="FF0000"/>
        </w:rPr>
      </w:pPr>
      <w:r w:rsidRPr="003442F1">
        <w:rPr>
          <w:color w:val="FF0000"/>
        </w:rPr>
        <w:t>Interesting that the ZAR improves returns compared to USD GSCI</w:t>
      </w:r>
    </w:p>
    <w:p w:rsidR="003D4BD5" w:rsidRDefault="003D4BD5">
      <w:pPr>
        <w:rPr>
          <w:rFonts w:asciiTheme="majorHAnsi" w:eastAsiaTheme="majorEastAsia" w:hAnsiTheme="majorHAnsi" w:cstheme="majorBidi"/>
          <w:color w:val="2F5496" w:themeColor="accent1" w:themeShade="BF"/>
          <w:sz w:val="26"/>
          <w:szCs w:val="26"/>
        </w:rPr>
      </w:pPr>
    </w:p>
    <w:p w:rsidR="003D4BD5" w:rsidRDefault="003D4BD5" w:rsidP="00864C76">
      <w:pPr>
        <w:pStyle w:val="Heading2"/>
      </w:pPr>
    </w:p>
    <w:p w:rsidR="003D4BD5" w:rsidRDefault="003D4BD5">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36" w:name="_Toc478417201"/>
      <w:r>
        <w:lastRenderedPageBreak/>
        <w:t>Systematic Tactical Asset Allocation South Africa</w:t>
      </w:r>
      <w:r w:rsidR="003D4BD5">
        <w:t xml:space="preserve"> (1972-2016)</w:t>
      </w:r>
      <w:bookmarkEnd w:id="36"/>
    </w:p>
    <w:p w:rsidR="00864C76" w:rsidRDefault="003378FC" w:rsidP="00864C76">
      <w:r>
        <w:rPr>
          <w:noProof/>
          <w:lang w:eastAsia="en-AU"/>
        </w:rPr>
        <w:drawing>
          <wp:inline distT="0" distB="0" distL="0" distR="0" wp14:anchorId="01120A39" wp14:editId="36D76001">
            <wp:extent cx="5731510" cy="35375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7585"/>
                    </a:xfrm>
                    <a:prstGeom prst="rect">
                      <a:avLst/>
                    </a:prstGeom>
                  </pic:spPr>
                </pic:pic>
              </a:graphicData>
            </a:graphic>
          </wp:inline>
        </w:drawing>
      </w:r>
    </w:p>
    <w:p w:rsidR="003D4BD5" w:rsidRDefault="003378FC" w:rsidP="00864C76">
      <w:r>
        <w:rPr>
          <w:noProof/>
          <w:lang w:eastAsia="en-AU"/>
        </w:rPr>
        <w:drawing>
          <wp:inline distT="0" distB="0" distL="0" distR="0" wp14:anchorId="63791A5C" wp14:editId="467AFFA4">
            <wp:extent cx="5731510" cy="1708031"/>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2046" cy="171415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3378FC"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Timing</w:t>
            </w:r>
          </w:p>
        </w:tc>
        <w:tc>
          <w:tcPr>
            <w:tcW w:w="58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Strat</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16.36%</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15.63%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14.92%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15.32%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15.59%</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8.76%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7.96%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8.54%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7.87%</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7.01%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0.36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0.32</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3.96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2.52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4.14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3.36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3.31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77.40%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71.72%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73.24%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71.38%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61.93%</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66.54%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71.90%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73.20%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72.27%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74.86%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75.23%</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10.33%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15.11%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12.71%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-30.61%</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-7.29%</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0.76</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0.44</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0.46</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0.47</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0.52</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0.50</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0.51</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0.67</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0.83</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1.01</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1.04</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0.53</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1.35</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1.29</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2.25</w:t>
            </w:r>
          </w:p>
        </w:tc>
        <w:tc>
          <w:tcPr>
            <w:tcW w:w="589"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2.18</w:t>
            </w:r>
          </w:p>
        </w:tc>
      </w:tr>
      <w:tr w:rsidR="003378FC"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6.35</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2.60</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2.58</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2.60</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1.74</w:t>
            </w:r>
          </w:p>
        </w:tc>
        <w:tc>
          <w:tcPr>
            <w:tcW w:w="58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1.47</w:t>
            </w:r>
          </w:p>
        </w:tc>
      </w:tr>
    </w:tbl>
    <w:p w:rsidR="00E0755F" w:rsidRDefault="00E0755F" w:rsidP="00864C76"/>
    <w:p w:rsidR="00864C76" w:rsidRDefault="00864C76" w:rsidP="00864C76">
      <w:r>
        <w:lastRenderedPageBreak/>
        <w:t>The absolute returns of the timing strategy are slightly worse however a larger drop in volatility results in a higher sharpe ratio. Importantly for investors, the biggest drawdown is 11.59%, approximately a third of the buy and hold.</w:t>
      </w:r>
      <w:r w:rsidR="001E4474">
        <w:t xml:space="preserve"> Risk adjusted measures are all much better than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1E4474" w:rsidP="00864C76">
      <w:pPr>
        <w:pStyle w:val="Heading2"/>
      </w:pPr>
      <w:bookmarkStart w:id="37" w:name="_Toc478417202"/>
      <w:r>
        <w:lastRenderedPageBreak/>
        <w:t>S</w:t>
      </w:r>
      <w:r w:rsidR="0051156E">
        <w:t>outh African</w:t>
      </w:r>
      <w:r>
        <w:t xml:space="preserve"> Asset Class </w:t>
      </w:r>
      <w:r w:rsidRPr="001E4474">
        <w:t>Returns</w:t>
      </w:r>
      <w:r w:rsidR="00864C76">
        <w:t xml:space="preserve"> including </w:t>
      </w:r>
      <w:r>
        <w:t xml:space="preserve">Real Estate </w:t>
      </w:r>
      <w:r w:rsidR="00C723A1">
        <w:t>(1994</w:t>
      </w:r>
      <w:r>
        <w:t>-2016)</w:t>
      </w:r>
      <w:bookmarkEnd w:id="37"/>
    </w:p>
    <w:p w:rsidR="00864C76" w:rsidRDefault="00864C76" w:rsidP="00864C76">
      <w:r>
        <w:t>Now lets add</w:t>
      </w:r>
      <w:r w:rsidR="001E4474">
        <w:t xml:space="preserve"> property and compare since 1994</w:t>
      </w:r>
    </w:p>
    <w:p w:rsidR="00864C76" w:rsidRDefault="003247F2" w:rsidP="00864C76">
      <w:r>
        <w:rPr>
          <w:noProof/>
          <w:lang w:eastAsia="en-AU"/>
        </w:rPr>
        <w:drawing>
          <wp:inline distT="0" distB="0" distL="0" distR="0" wp14:anchorId="7CE6214C" wp14:editId="6C84E786">
            <wp:extent cx="5731510" cy="3537585"/>
            <wp:effectExtent l="0" t="0" r="254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37585"/>
                    </a:xfrm>
                    <a:prstGeom prst="rect">
                      <a:avLst/>
                    </a:prstGeom>
                  </pic:spPr>
                </pic:pic>
              </a:graphicData>
            </a:graphic>
          </wp:inline>
        </w:drawing>
      </w:r>
    </w:p>
    <w:tbl>
      <w:tblPr>
        <w:tblW w:w="9121" w:type="dxa"/>
        <w:tblInd w:w="-10"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3247F2" w:rsidTr="00C723A1">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JASPY</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9.84%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14.59%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13.54%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11.74%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6.85%</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19.40%</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18.37%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16.32%</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8.04%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23.01%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15.85%</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Sharpe (9.84%)</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0.54</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-31.87%</w:t>
            </w:r>
          </w:p>
        </w:tc>
      </w:tr>
      <w:tr w:rsidR="003247F2" w:rsidTr="00C723A1">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r>
    </w:tbl>
    <w:p w:rsidR="00864C76" w:rsidRDefault="00864C76" w:rsidP="00864C76"/>
    <w:p w:rsidR="00864C76" w:rsidRDefault="00C723A1" w:rsidP="00864C76">
      <w:r>
        <w:t xml:space="preserve">Reviewing the most recent 22 years, which includes data on Real Estate, shows that over this period Real Estate has returned much stronger absolute and risk adjusted returns than the other asset classes. Commodities again have the lowest absolute returns, despite having the highest volatility. GSCI returns of 6.91% are just higher than inflation which has reduced by approximately a third compared to the previous period. </w:t>
      </w:r>
    </w:p>
    <w:p w:rsidR="003247F2" w:rsidRDefault="003247F2">
      <w:pPr>
        <w:rPr>
          <w:rFonts w:asciiTheme="majorHAnsi" w:eastAsiaTheme="majorEastAsia" w:hAnsiTheme="majorHAnsi" w:cstheme="majorBidi"/>
          <w:color w:val="1F3763" w:themeColor="accent1" w:themeShade="7F"/>
          <w:sz w:val="24"/>
          <w:szCs w:val="24"/>
        </w:rPr>
      </w:pPr>
      <w:r>
        <w:br w:type="page"/>
      </w:r>
    </w:p>
    <w:p w:rsidR="003D4BD5" w:rsidRDefault="003D4BD5" w:rsidP="003D4BD5">
      <w:pPr>
        <w:pStyle w:val="Heading3"/>
      </w:pPr>
      <w:bookmarkStart w:id="38" w:name="_Toc478417203"/>
      <w:r>
        <w:lastRenderedPageBreak/>
        <w:t xml:space="preserve">JSAPY </w:t>
      </w:r>
      <w:r w:rsidR="00330137">
        <w:t>– South African Real Estate Index</w:t>
      </w:r>
      <w:bookmarkEnd w:id="38"/>
    </w:p>
    <w:p w:rsidR="003D4BD5" w:rsidRDefault="00454E89" w:rsidP="003D4BD5">
      <w:pPr>
        <w:rPr>
          <w:noProof/>
          <w:lang w:eastAsia="en-AU"/>
        </w:rPr>
      </w:pPr>
      <w:r>
        <w:rPr>
          <w:noProof/>
          <w:lang w:eastAsia="en-AU"/>
        </w:rPr>
        <w:drawing>
          <wp:inline distT="0" distB="0" distL="0" distR="0" wp14:anchorId="35096837" wp14:editId="71DED3F8">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537585"/>
                    </a:xfrm>
                    <a:prstGeom prst="rect">
                      <a:avLst/>
                    </a:prstGeom>
                  </pic:spPr>
                </pic:pic>
              </a:graphicData>
            </a:graphic>
          </wp:inline>
        </w:drawing>
      </w:r>
    </w:p>
    <w:p w:rsidR="003247F2" w:rsidRDefault="00454E89" w:rsidP="003D4BD5">
      <w:pPr>
        <w:rPr>
          <w:noProof/>
          <w:lang w:eastAsia="en-AU"/>
        </w:rPr>
      </w:pPr>
      <w:r>
        <w:rPr>
          <w:noProof/>
          <w:lang w:eastAsia="en-AU"/>
        </w:rPr>
        <w:drawing>
          <wp:inline distT="0" distB="0" distL="0" distR="0" wp14:anchorId="11FD5353" wp14:editId="487A371B">
            <wp:extent cx="5731510" cy="149236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463" cy="149548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3378FC" w:rsidRPr="004423BE" w:rsidTr="00154972">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Timing</w:t>
            </w:r>
          </w:p>
        </w:tc>
        <w:tc>
          <w:tcPr>
            <w:tcW w:w="58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Strat</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19.40%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17.71%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17.60%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18.02%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19.24%</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17.93%</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12.87%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13.02%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11.53%</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10.27%</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2.35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2.86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2.01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2.14</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81.23%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76.17%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79.42%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74.25%</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66.75%</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66.07%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74.01%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76.17%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75.09%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74.37%</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74.73%</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13.45%</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13.42%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-11.09%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-11.09%</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-31.87%</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-19.25%</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-19.00%</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-19.00%</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-17.02%</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-14.34%</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0.80</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Sharpe Ratio (9.84%)</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0.55</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0.54</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0.55</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0.57</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0.75</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0.67</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0.69</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0.70</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0.94</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0.61</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0.92</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0.93</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0.95</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1.13</w:t>
            </w:r>
          </w:p>
        </w:tc>
        <w:tc>
          <w:tcPr>
            <w:tcW w:w="589"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1.25</w:t>
            </w:r>
          </w:p>
        </w:tc>
      </w:tr>
      <w:tr w:rsidR="003378FC" w:rsidRPr="004423BE" w:rsidTr="00154972">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6.41</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6.14</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6.13</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4.04</w:t>
            </w:r>
          </w:p>
        </w:tc>
        <w:tc>
          <w:tcPr>
            <w:tcW w:w="58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3.64</w:t>
            </w:r>
          </w:p>
        </w:tc>
      </w:tr>
    </w:tbl>
    <w:p w:rsidR="003378FC" w:rsidRDefault="003378FC" w:rsidP="003D4BD5">
      <w:pPr>
        <w:rPr>
          <w:noProof/>
          <w:lang w:eastAsia="en-AU"/>
        </w:rPr>
      </w:pPr>
    </w:p>
    <w:p w:rsidR="003D4BD5" w:rsidRDefault="003D4BD5" w:rsidP="003D4BD5">
      <w:pPr>
        <w:pStyle w:val="Heading2"/>
      </w:pPr>
      <w:bookmarkStart w:id="39" w:name="_Toc478417204"/>
      <w:r>
        <w:lastRenderedPageBreak/>
        <w:t>Systematic Tactical Asset Allocation South Africa (1994-2016)</w:t>
      </w:r>
      <w:bookmarkEnd w:id="39"/>
    </w:p>
    <w:p w:rsidR="00864C76" w:rsidRDefault="00454E89" w:rsidP="00864C76">
      <w:r>
        <w:rPr>
          <w:noProof/>
          <w:lang w:eastAsia="en-AU"/>
        </w:rPr>
        <w:drawing>
          <wp:inline distT="0" distB="0" distL="0" distR="0" wp14:anchorId="5584374D" wp14:editId="57851D04">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537585"/>
                    </a:xfrm>
                    <a:prstGeom prst="rect">
                      <a:avLst/>
                    </a:prstGeom>
                  </pic:spPr>
                </pic:pic>
              </a:graphicData>
            </a:graphic>
          </wp:inline>
        </w:drawing>
      </w:r>
    </w:p>
    <w:p w:rsidR="003247F2" w:rsidRDefault="00454E89" w:rsidP="00864C76">
      <w:r>
        <w:rPr>
          <w:noProof/>
          <w:lang w:eastAsia="en-AU"/>
        </w:rPr>
        <w:drawing>
          <wp:inline distT="0" distB="0" distL="0" distR="0" wp14:anchorId="53038C7A" wp14:editId="3A3EEF07">
            <wp:extent cx="5731510" cy="1518249"/>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0280" cy="152322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308"/>
        <w:gridCol w:w="868"/>
        <w:gridCol w:w="747"/>
        <w:gridCol w:w="1524"/>
        <w:gridCol w:w="1234"/>
        <w:gridCol w:w="1257"/>
        <w:gridCol w:w="1068"/>
      </w:tblGrid>
      <w:tr w:rsidR="00454E89" w:rsidRPr="00454E89" w:rsidTr="00454E89">
        <w:trPr>
          <w:trHeight w:hRule="exact" w:val="284"/>
        </w:trPr>
        <w:tc>
          <w:tcPr>
            <w:tcW w:w="128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 </w:t>
            </w:r>
          </w:p>
        </w:tc>
        <w:tc>
          <w:tcPr>
            <w:tcW w:w="4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B&amp;H</w:t>
            </w:r>
          </w:p>
        </w:tc>
        <w:tc>
          <w:tcPr>
            <w:tcW w:w="4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w:t>
            </w:r>
          </w:p>
        </w:tc>
        <w:tc>
          <w:tcPr>
            <w:tcW w:w="84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 Delayed</w:t>
            </w:r>
          </w:p>
        </w:tc>
        <w:tc>
          <w:tcPr>
            <w:tcW w:w="68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 Band</w:t>
            </w:r>
          </w:p>
        </w:tc>
        <w:tc>
          <w:tcPr>
            <w:tcW w:w="69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Multi Timing</w:t>
            </w:r>
          </w:p>
        </w:tc>
        <w:tc>
          <w:tcPr>
            <w:tcW w:w="59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Multi Strat</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14.28%</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14.30%</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14.35%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14.03%</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14.85%</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14.20%</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Volatility</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9.44%</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7.04%</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6.47%</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6.70%</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6.29%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5.44%</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Skew</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-0.11</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0.03</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0.42</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0.21</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-0.03</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0.11</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Kurtosis</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1.88</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1.31</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1.00</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0.84</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0.86</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Inflation 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 in the Market</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100.00%</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76.17%</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70.54%</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72.42%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70.11%</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60.87%</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 positive Months</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65.34%</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71.48%</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74.01%</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72.56%</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75.09%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76.17%</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Best Month</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11.52%</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7.16%</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6.83%</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Worst Month</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-10.90%</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-6.72%</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-4.69%</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-4.92%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-4.81%</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-3.40%</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Max Drawdown</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-22.19%</w:t>
            </w:r>
          </w:p>
        </w:tc>
        <w:tc>
          <w:tcPr>
            <w:tcW w:w="415" w:type="pct"/>
            <w:tcBorders>
              <w:top w:val="nil"/>
              <w:left w:val="single" w:sz="8" w:space="0" w:color="auto"/>
              <w:bottom w:val="nil"/>
              <w:right w:val="single" w:sz="8" w:space="0" w:color="auto"/>
            </w:tcBorders>
            <w:shd w:val="clear" w:color="000000" w:fill="FBE2E5"/>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-9.59%</w:t>
            </w:r>
          </w:p>
        </w:tc>
        <w:tc>
          <w:tcPr>
            <w:tcW w:w="846" w:type="pct"/>
            <w:tcBorders>
              <w:top w:val="nil"/>
              <w:left w:val="single" w:sz="8" w:space="0" w:color="auto"/>
              <w:bottom w:val="nil"/>
              <w:right w:val="single" w:sz="8" w:space="0" w:color="auto"/>
            </w:tcBorders>
            <w:shd w:val="clear" w:color="000000" w:fill="E5F3E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-6.51%</w:t>
            </w:r>
          </w:p>
        </w:tc>
        <w:tc>
          <w:tcPr>
            <w:tcW w:w="685" w:type="pct"/>
            <w:tcBorders>
              <w:top w:val="nil"/>
              <w:left w:val="single" w:sz="8" w:space="0" w:color="auto"/>
              <w:bottom w:val="nil"/>
              <w:right w:val="single" w:sz="8" w:space="0" w:color="auto"/>
            </w:tcBorders>
            <w:shd w:val="clear" w:color="000000" w:fill="FBF7FA"/>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-7.41%</w:t>
            </w:r>
          </w:p>
        </w:tc>
        <w:tc>
          <w:tcPr>
            <w:tcW w:w="698" w:type="pct"/>
            <w:tcBorders>
              <w:top w:val="nil"/>
              <w:left w:val="single" w:sz="8" w:space="0" w:color="auto"/>
              <w:bottom w:val="nil"/>
              <w:right w:val="single" w:sz="8" w:space="0" w:color="auto"/>
            </w:tcBorders>
            <w:shd w:val="clear" w:color="000000" w:fill="97D3A8"/>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-5.05%</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-4.08%</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Max Drawdown / 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1.55</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0.67</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0.53</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0.34</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0.29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Sharpe Ratio (9.84%)</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0.43</w:t>
            </w:r>
          </w:p>
        </w:tc>
        <w:tc>
          <w:tcPr>
            <w:tcW w:w="415" w:type="pct"/>
            <w:tcBorders>
              <w:top w:val="nil"/>
              <w:left w:val="single" w:sz="8" w:space="0" w:color="auto"/>
              <w:bottom w:val="nil"/>
              <w:right w:val="single" w:sz="8" w:space="0" w:color="auto"/>
            </w:tcBorders>
            <w:shd w:val="clear" w:color="000000" w:fill="FBE4E6"/>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0.58</w:t>
            </w:r>
          </w:p>
        </w:tc>
        <w:tc>
          <w:tcPr>
            <w:tcW w:w="846" w:type="pct"/>
            <w:tcBorders>
              <w:top w:val="nil"/>
              <w:left w:val="single" w:sz="8" w:space="0" w:color="auto"/>
              <w:bottom w:val="nil"/>
              <w:right w:val="single" w:sz="8" w:space="0" w:color="auto"/>
            </w:tcBorders>
            <w:shd w:val="clear" w:color="000000" w:fill="D9EEE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0.64</w:t>
            </w:r>
          </w:p>
        </w:tc>
        <w:tc>
          <w:tcPr>
            <w:tcW w:w="685" w:type="pct"/>
            <w:tcBorders>
              <w:top w:val="nil"/>
              <w:left w:val="single" w:sz="8" w:space="0" w:color="auto"/>
              <w:bottom w:val="nil"/>
              <w:right w:val="single" w:sz="8" w:space="0" w:color="auto"/>
            </w:tcBorders>
            <w:shd w:val="clear" w:color="000000" w:fill="FBDDE0"/>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0.57</w:t>
            </w:r>
          </w:p>
        </w:tc>
        <w:tc>
          <w:tcPr>
            <w:tcW w:w="698" w:type="pct"/>
            <w:tcBorders>
              <w:top w:val="nil"/>
              <w:left w:val="single" w:sz="8" w:space="0" w:color="auto"/>
              <w:bottom w:val="nil"/>
              <w:right w:val="single" w:sz="8" w:space="0" w:color="auto"/>
            </w:tcBorders>
            <w:shd w:val="clear" w:color="000000" w:fill="6AC18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0.73</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0.73</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Sortino Ratio</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0.84</w:t>
            </w:r>
          </w:p>
        </w:tc>
        <w:tc>
          <w:tcPr>
            <w:tcW w:w="415" w:type="pct"/>
            <w:tcBorders>
              <w:top w:val="nil"/>
              <w:left w:val="single" w:sz="8" w:space="0" w:color="auto"/>
              <w:bottom w:val="nil"/>
              <w:right w:val="single" w:sz="8" w:space="0" w:color="auto"/>
            </w:tcBorders>
            <w:shd w:val="clear" w:color="000000" w:fill="FACDD0"/>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1.27</w:t>
            </w:r>
          </w:p>
        </w:tc>
        <w:tc>
          <w:tcPr>
            <w:tcW w:w="846" w:type="pct"/>
            <w:tcBorders>
              <w:top w:val="nil"/>
              <w:left w:val="single" w:sz="8" w:space="0" w:color="auto"/>
              <w:bottom w:val="nil"/>
              <w:right w:val="single" w:sz="8" w:space="0" w:color="auto"/>
            </w:tcBorders>
            <w:shd w:val="clear" w:color="000000" w:fill="CCE9D5"/>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1.60</w:t>
            </w:r>
          </w:p>
        </w:tc>
        <w:tc>
          <w:tcPr>
            <w:tcW w:w="685" w:type="pct"/>
            <w:tcBorders>
              <w:top w:val="nil"/>
              <w:left w:val="single" w:sz="8" w:space="0" w:color="auto"/>
              <w:bottom w:val="nil"/>
              <w:right w:val="single" w:sz="8" w:space="0" w:color="auto"/>
            </w:tcBorders>
            <w:shd w:val="clear" w:color="000000" w:fill="FBEAED"/>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1.39</w:t>
            </w:r>
          </w:p>
        </w:tc>
        <w:tc>
          <w:tcPr>
            <w:tcW w:w="698" w:type="pct"/>
            <w:tcBorders>
              <w:top w:val="nil"/>
              <w:left w:val="single" w:sz="8" w:space="0" w:color="auto"/>
              <w:bottom w:val="nil"/>
              <w:right w:val="single" w:sz="8" w:space="0" w:color="auto"/>
            </w:tcBorders>
            <w:shd w:val="clear" w:color="000000" w:fill="E1F1E8"/>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1.55</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MAR Ratio</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0.64</w:t>
            </w:r>
          </w:p>
        </w:tc>
        <w:tc>
          <w:tcPr>
            <w:tcW w:w="415" w:type="pct"/>
            <w:tcBorders>
              <w:top w:val="nil"/>
              <w:left w:val="single" w:sz="8" w:space="0" w:color="auto"/>
              <w:bottom w:val="nil"/>
              <w:right w:val="single" w:sz="8" w:space="0" w:color="auto"/>
            </w:tcBorders>
            <w:shd w:val="clear" w:color="000000" w:fill="FAC1C4"/>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1.49</w:t>
            </w:r>
          </w:p>
        </w:tc>
        <w:tc>
          <w:tcPr>
            <w:tcW w:w="846" w:type="pct"/>
            <w:tcBorders>
              <w:top w:val="nil"/>
              <w:left w:val="single" w:sz="8" w:space="0" w:color="auto"/>
              <w:bottom w:val="nil"/>
              <w:right w:val="single" w:sz="8" w:space="0" w:color="auto"/>
            </w:tcBorders>
            <w:shd w:val="clear" w:color="000000" w:fill="ECF6F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2.21</w:t>
            </w:r>
          </w:p>
        </w:tc>
        <w:tc>
          <w:tcPr>
            <w:tcW w:w="685" w:type="pct"/>
            <w:tcBorders>
              <w:top w:val="nil"/>
              <w:left w:val="single" w:sz="8" w:space="0" w:color="auto"/>
              <w:bottom w:val="nil"/>
              <w:right w:val="single" w:sz="8" w:space="0" w:color="auto"/>
            </w:tcBorders>
            <w:shd w:val="clear" w:color="000000" w:fill="FBEBEE"/>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1.89</w:t>
            </w:r>
          </w:p>
        </w:tc>
        <w:tc>
          <w:tcPr>
            <w:tcW w:w="698" w:type="pct"/>
            <w:tcBorders>
              <w:top w:val="nil"/>
              <w:left w:val="single" w:sz="8" w:space="0" w:color="auto"/>
              <w:bottom w:val="nil"/>
              <w:right w:val="single" w:sz="8" w:space="0" w:color="auto"/>
            </w:tcBorders>
            <w:shd w:val="clear" w:color="000000" w:fill="9DD6AD"/>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2.94</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3.48</w:t>
            </w:r>
          </w:p>
        </w:tc>
      </w:tr>
      <w:tr w:rsidR="00454E89" w:rsidRPr="00454E89" w:rsidTr="00454E89">
        <w:trPr>
          <w:trHeight w:hRule="exact" w:val="284"/>
        </w:trPr>
        <w:tc>
          <w:tcPr>
            <w:tcW w:w="128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Ulcer Index</w:t>
            </w:r>
          </w:p>
        </w:tc>
        <w:tc>
          <w:tcPr>
            <w:tcW w:w="4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4.66</w:t>
            </w:r>
          </w:p>
        </w:tc>
        <w:tc>
          <w:tcPr>
            <w:tcW w:w="4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1.95</w:t>
            </w:r>
          </w:p>
        </w:tc>
        <w:tc>
          <w:tcPr>
            <w:tcW w:w="84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w:t>
            </w:r>
          </w:p>
        </w:tc>
        <w:tc>
          <w:tcPr>
            <w:tcW w:w="68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1.76</w:t>
            </w:r>
          </w:p>
        </w:tc>
        <w:tc>
          <w:tcPr>
            <w:tcW w:w="69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1.24</w:t>
            </w:r>
          </w:p>
        </w:tc>
        <w:tc>
          <w:tcPr>
            <w:tcW w:w="59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0.94</w:t>
            </w:r>
          </w:p>
        </w:tc>
      </w:tr>
    </w:tbl>
    <w:p w:rsidR="001B693D" w:rsidRDefault="001B693D" w:rsidP="00864C76"/>
    <w:p w:rsidR="00864C76" w:rsidRDefault="00864C76" w:rsidP="00864C76">
      <w:r>
        <w:lastRenderedPageBreak/>
        <w:t xml:space="preserve">Including </w:t>
      </w:r>
      <w:r w:rsidR="003247F2">
        <w:t>Real Estate</w:t>
      </w:r>
      <w:r>
        <w:t xml:space="preserve">, the timing strategy is slightly better/equal to the buy and hold. Again the timing </w:t>
      </w:r>
      <w:r w:rsidRPr="00FC4B2F">
        <w:t>strategy’s</w:t>
      </w:r>
      <w:r>
        <w:t xml:space="preserve"> </w:t>
      </w:r>
      <w:r w:rsidRPr="00FC4B2F">
        <w:t>volatility</w:t>
      </w:r>
      <w:r>
        <w:t xml:space="preserve"> is lower and max drawdown is still in the single figures.</w:t>
      </w:r>
      <w:r w:rsidR="003247F2">
        <w:t xml:space="preserve"> The value of the other timing strategies are highlighted over this period. The multi strat has a max drawdown of 3.67%, and a MaxDD/CAGR ratio of 0.25. In other words it would take a quarter of an average years performance to recover from its maxdd. [word of warning max dd is always in the future, similar to fabers original research]</w:t>
      </w:r>
    </w:p>
    <w:p w:rsidR="00610DB3" w:rsidRPr="003247F2" w:rsidRDefault="00610DB3" w:rsidP="00610DB3">
      <w:pPr>
        <w:rPr>
          <w:color w:val="FF0000"/>
        </w:rPr>
      </w:pPr>
      <w:r w:rsidRPr="003247F2">
        <w:rPr>
          <w:color w:val="FF0000"/>
        </w:rPr>
        <w:t xml:space="preserve">Although performance metrics exhibit solid performance over a basket of US assets, when applied to South Africa its clear the </w:t>
      </w:r>
      <w:r w:rsidR="00017E0A" w:rsidRPr="003247F2">
        <w:rPr>
          <w:color w:val="FF0000"/>
        </w:rPr>
        <w:t xml:space="preserve">timing strategy </w:t>
      </w:r>
      <w:r w:rsidRPr="003247F2">
        <w:rPr>
          <w:color w:val="FF0000"/>
        </w:rPr>
        <w:t>outperformance isn’t as strong. Why? Is it a case of overfitting in Faber’s paper, or a unique case where trend following rules don’t apply to a south Africa asset allocation?</w:t>
      </w:r>
    </w:p>
    <w:p w:rsidR="00610DB3" w:rsidRPr="003247F2" w:rsidRDefault="002F2D72" w:rsidP="00610DB3">
      <w:pPr>
        <w:rPr>
          <w:color w:val="FF0000"/>
        </w:rPr>
      </w:pPr>
      <w:r w:rsidRPr="003247F2">
        <w:rPr>
          <w:color w:val="FF0000"/>
        </w:rPr>
        <w:t>Lastly as Faber has pointed out, diversification can also somewhat improve returns, again at a cost o</w:t>
      </w:r>
      <w:r w:rsidR="003247F2" w:rsidRPr="003247F2">
        <w:rPr>
          <w:color w:val="FF0000"/>
        </w:rPr>
        <w:t>f increased taxes/trading fees.</w:t>
      </w:r>
    </w:p>
    <w:p w:rsidR="00610DB3" w:rsidRPr="003247F2" w:rsidRDefault="00610DB3" w:rsidP="00610DB3">
      <w:pPr>
        <w:pStyle w:val="ListParagraph"/>
        <w:numPr>
          <w:ilvl w:val="0"/>
          <w:numId w:val="15"/>
        </w:numPr>
        <w:rPr>
          <w:color w:val="FF0000"/>
        </w:rPr>
      </w:pPr>
      <w:r w:rsidRPr="003247F2">
        <w:rPr>
          <w:color w:val="FF0000"/>
        </w:rPr>
        <w:t>Diversifying with more asset classes:</w:t>
      </w:r>
    </w:p>
    <w:p w:rsidR="00610DB3" w:rsidRPr="003247F2" w:rsidRDefault="00610DB3" w:rsidP="00610DB3">
      <w:pPr>
        <w:pStyle w:val="ListParagraph"/>
        <w:numPr>
          <w:ilvl w:val="1"/>
          <w:numId w:val="15"/>
        </w:numPr>
        <w:rPr>
          <w:color w:val="FF0000"/>
        </w:rPr>
      </w:pPr>
      <w:r w:rsidRPr="003247F2">
        <w:rPr>
          <w:color w:val="FF0000"/>
        </w:rP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Pr="003247F2" w:rsidRDefault="00610DB3" w:rsidP="00610DB3">
      <w:pPr>
        <w:pStyle w:val="ListParagraph"/>
        <w:numPr>
          <w:ilvl w:val="1"/>
          <w:numId w:val="15"/>
        </w:numPr>
        <w:rPr>
          <w:color w:val="FF0000"/>
        </w:rPr>
      </w:pPr>
      <w:r w:rsidRPr="003247F2">
        <w:rPr>
          <w:color w:val="FF0000"/>
        </w:rPr>
        <w:t>Also add different asset classes – comment on how more and more is becoming available. Perhaps bitcoin as an example of an uncorrelated asset that could improve results.Diversifying using more moving average periods</w:t>
      </w:r>
    </w:p>
    <w:p w:rsidR="00610DB3" w:rsidRPr="003247F2" w:rsidRDefault="00610DB3" w:rsidP="00610DB3">
      <w:pPr>
        <w:pStyle w:val="ListParagraph"/>
        <w:numPr>
          <w:ilvl w:val="0"/>
          <w:numId w:val="1"/>
        </w:numPr>
        <w:rPr>
          <w:color w:val="FF0000"/>
        </w:rPr>
      </w:pPr>
      <w:r w:rsidRPr="003247F2">
        <w:rPr>
          <w:color w:val="FF0000"/>
        </w:rPr>
        <w:t>Using EMA</w:t>
      </w:r>
    </w:p>
    <w:p w:rsidR="00610DB3" w:rsidRPr="003247F2" w:rsidRDefault="00610DB3" w:rsidP="00610DB3">
      <w:pPr>
        <w:pStyle w:val="ListParagraph"/>
        <w:numPr>
          <w:ilvl w:val="0"/>
          <w:numId w:val="1"/>
        </w:numPr>
        <w:rPr>
          <w:color w:val="FF0000"/>
        </w:rPr>
      </w:pPr>
      <w:r w:rsidRPr="003247F2">
        <w:rPr>
          <w:color w:val="FF0000"/>
        </w:rPr>
        <w:t>Using vol filter</w:t>
      </w:r>
    </w:p>
    <w:p w:rsidR="00610DB3" w:rsidRPr="003247F2" w:rsidRDefault="00610DB3" w:rsidP="00610DB3">
      <w:pPr>
        <w:pStyle w:val="ListParagraph"/>
        <w:numPr>
          <w:ilvl w:val="0"/>
          <w:numId w:val="1"/>
        </w:numPr>
        <w:rPr>
          <w:color w:val="FF0000"/>
        </w:rPr>
      </w:pPr>
      <w:r w:rsidRPr="003247F2">
        <w:rPr>
          <w:color w:val="FF0000"/>
        </w:rPr>
        <w:t>Long and short (pg 158 faber ivy)</w:t>
      </w:r>
    </w:p>
    <w:p w:rsidR="00610DB3" w:rsidRPr="003247F2" w:rsidRDefault="00610DB3" w:rsidP="00610DB3">
      <w:pPr>
        <w:pStyle w:val="ListParagraph"/>
        <w:numPr>
          <w:ilvl w:val="0"/>
          <w:numId w:val="1"/>
        </w:numPr>
        <w:rPr>
          <w:color w:val="FF0000"/>
        </w:rPr>
      </w:pPr>
      <w:r w:rsidRPr="003247F2">
        <w:rPr>
          <w:color w:val="FF0000"/>
        </w:rPr>
        <w:t>Overlaying a mean reverting</w:t>
      </w:r>
    </w:p>
    <w:p w:rsidR="00610DB3" w:rsidRPr="003247F2" w:rsidRDefault="00610DB3" w:rsidP="00610DB3">
      <w:pPr>
        <w:pStyle w:val="ListParagraph"/>
        <w:numPr>
          <w:ilvl w:val="0"/>
          <w:numId w:val="1"/>
        </w:numPr>
        <w:rPr>
          <w:color w:val="FF0000"/>
        </w:rPr>
      </w:pPr>
      <w:r w:rsidRPr="003247F2">
        <w:rPr>
          <w:color w:val="FF0000"/>
        </w:rPr>
        <w:t>Pyramid in / out approach</w:t>
      </w:r>
    </w:p>
    <w:p w:rsidR="00610DB3" w:rsidRPr="003247F2" w:rsidRDefault="00610DB3" w:rsidP="00610DB3">
      <w:pPr>
        <w:pStyle w:val="ListParagraph"/>
        <w:numPr>
          <w:ilvl w:val="0"/>
          <w:numId w:val="1"/>
        </w:numPr>
        <w:rPr>
          <w:color w:val="FF0000"/>
        </w:rPr>
      </w:pPr>
      <w:r w:rsidRPr="003247F2">
        <w:rPr>
          <w:color w:val="FF0000"/>
        </w:rPr>
        <w:t>Signal has to be 1% above or below to change</w:t>
      </w:r>
    </w:p>
    <w:p w:rsidR="00610DB3" w:rsidRPr="003247F2" w:rsidRDefault="00610DB3" w:rsidP="00610DB3">
      <w:pPr>
        <w:pStyle w:val="ListParagraph"/>
        <w:numPr>
          <w:ilvl w:val="0"/>
          <w:numId w:val="1"/>
        </w:numPr>
        <w:rPr>
          <w:color w:val="FF0000"/>
        </w:rPr>
      </w:pPr>
      <w:r w:rsidRPr="003247F2">
        <w:rPr>
          <w:color w:val="FF0000"/>
        </w:rPr>
        <w:t xml:space="preserve">No bonds – already exposed to fixed income through treasuries – can remove and increase returns. However this will remove downside? </w:t>
      </w:r>
    </w:p>
    <w:p w:rsidR="00610DB3" w:rsidRPr="003247F2" w:rsidRDefault="00610DB3" w:rsidP="00610DB3">
      <w:pPr>
        <w:pStyle w:val="ListParagraph"/>
        <w:numPr>
          <w:ilvl w:val="0"/>
          <w:numId w:val="1"/>
        </w:numPr>
        <w:rPr>
          <w:color w:val="FF0000"/>
        </w:rPr>
      </w:pPr>
      <w:r w:rsidRPr="003247F2">
        <w:rPr>
          <w:color w:val="FF0000"/>
        </w:rPr>
        <w:t>High vol asset classes give better returns on a timing strategy (faber ivy 2009)</w:t>
      </w:r>
    </w:p>
    <w:p w:rsidR="00017E0A" w:rsidRDefault="00017E0A" w:rsidP="00017E0A">
      <w:r w:rsidRPr="003247F2">
        <w:rPr>
          <w:color w:val="FF0000"/>
        </w:rPr>
        <w:t>On analysis it appears the performance of the Systematic Tactical Asset Allocation with South Africa assets suffers due to domestic equities in the late 1970s. [Questionable data? – look to confirm</w:t>
      </w:r>
      <w:r w:rsidRPr="00390B14">
        <w:rPr>
          <w:color w:val="FF0000"/>
        </w:rPr>
        <w:t>]</w:t>
      </w:r>
    </w:p>
    <w:p w:rsidR="00017E0A" w:rsidRDefault="00017E0A" w:rsidP="00017E0A">
      <w:pPr>
        <w:rPr>
          <w:color w:val="FF0000"/>
        </w:rPr>
      </w:pPr>
      <w:r w:rsidRPr="00390B14">
        <w:rPr>
          <w:color w:val="FF0000"/>
        </w:rPr>
        <w:t>Look at</w:t>
      </w:r>
      <w:r>
        <w:rPr>
          <w:color w:val="FF0000"/>
        </w:rPr>
        <w:t>:</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Pr>
          <w:color w:val="FF0000"/>
        </w:rPr>
        <w:t>?</w:t>
      </w:r>
      <w:r w:rsidRPr="00964464">
        <w:rPr>
          <w:color w:val="FF0000"/>
        </w:rPr>
        <w:t xml:space="preserve">) and </w:t>
      </w:r>
      <w:r>
        <w:rPr>
          <w:color w:val="FF0000"/>
        </w:rPr>
        <w:br/>
      </w:r>
      <w:r w:rsidRPr="00964464">
        <w:rPr>
          <w:color w:val="FF0000"/>
        </w:rPr>
        <w:t>diversifying the moving averag</w:t>
      </w:r>
      <w:r>
        <w:rPr>
          <w:color w:val="FF0000"/>
        </w:rPr>
        <w:t>e to longer and shorter signals</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017E0A" w:rsidRPr="00D31166" w:rsidRDefault="00017E0A" w:rsidP="00017E0A"/>
    <w:p w:rsidR="00610DB3" w:rsidRDefault="00610DB3" w:rsidP="00864C76">
      <w:pPr>
        <w:pStyle w:val="Heading2"/>
      </w:pPr>
    </w:p>
    <w:p w:rsidR="00610DB3" w:rsidRDefault="00610DB3" w:rsidP="00864C76">
      <w:pPr>
        <w:pStyle w:val="Heading2"/>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9F6B4A">
      <w:pPr>
        <w:pStyle w:val="Heading2"/>
      </w:pPr>
      <w:bookmarkStart w:id="40" w:name="_Toc478417205"/>
      <w:r>
        <w:lastRenderedPageBreak/>
        <w:t>Comparison to S</w:t>
      </w:r>
      <w:r w:rsidR="00E14656">
        <w:t>outh African</w:t>
      </w:r>
      <w:r>
        <w:t xml:space="preserve"> funds</w:t>
      </w:r>
      <w:bookmarkEnd w:id="40"/>
    </w:p>
    <w:p w:rsidR="00864C76" w:rsidRDefault="00864C76" w:rsidP="00864C76">
      <w:bookmarkStart w:id="41" w:name="_GoBack"/>
      <w:bookmarkEnd w:id="41"/>
      <w:r>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9004A3" w:rsidRDefault="00864C76" w:rsidP="009004A3">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r w:rsidR="009004A3" w:rsidRPr="009004A3">
        <w:t xml:space="preserve"> </w:t>
      </w:r>
      <w:r w:rsidR="009004A3">
        <w:t>Ultimately the differences between each classification are minimal are seen in the following chart.</w:t>
      </w:r>
    </w:p>
    <w:p w:rsidR="00864C76" w:rsidRDefault="009004A3" w:rsidP="00864C76">
      <w:r>
        <w:rPr>
          <w:noProof/>
          <w:lang w:eastAsia="en-AU"/>
        </w:rPr>
        <w:drawing>
          <wp:inline distT="0" distB="0" distL="0" distR="0" wp14:anchorId="200A3814" wp14:editId="1D4D911C">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37585"/>
                    </a:xfrm>
                    <a:prstGeom prst="rect">
                      <a:avLst/>
                    </a:prstGeom>
                  </pic:spPr>
                </pic:pic>
              </a:graphicData>
            </a:graphic>
          </wp:inline>
        </w:drawing>
      </w:r>
    </w:p>
    <w:p w:rsidR="009004A3" w:rsidRDefault="009004A3" w:rsidP="009004A3">
      <w:pPr>
        <w:pStyle w:val="Heading3"/>
      </w:pPr>
      <w:r>
        <w:t>Worldwide Multi Asset Flexible Returns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9004A3" w:rsidRDefault="009004A3" w:rsidP="009004A3">
      <w:r>
        <w:lastRenderedPageBreak/>
        <w:t>When comparing returns between the different strategies we see very strong performance from the multi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9004A3" w:rsidRPr="004C29EA" w:rsidTr="00CC179D">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WMAF 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WMAF 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WMAF Multi</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14.95%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14.63%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14.59%</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9.22%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5.30%</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-0.24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0.07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0.32</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2.44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1.82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0.96</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78.38%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62.38%</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69.68%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72.56%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80.51%</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10.33%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9.36%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7.28%</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-12.14%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-7.75%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-2.93%</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-18.75%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-11.52%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-2.93%</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0.79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0.20</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Sharpe Ratio (9.84%)</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0.51</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0.63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0.82</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0.90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1.34</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2.21</w:t>
            </w:r>
          </w:p>
        </w:tc>
      </w:tr>
      <w:tr w:rsidR="009004A3" w:rsidRPr="004C29EA" w:rsidTr="00CC179D">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0.80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4.99</w:t>
            </w:r>
          </w:p>
        </w:tc>
      </w:tr>
      <w:tr w:rsidR="009004A3" w:rsidRPr="004C29EA" w:rsidTr="00CC179D">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3.77</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1.89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0.72</w:t>
            </w:r>
          </w:p>
        </w:tc>
      </w:tr>
    </w:tbl>
    <w:p w:rsidR="009004A3" w:rsidRDefault="009004A3" w:rsidP="009004A3"/>
    <w:p w:rsidR="009004A3" w:rsidRDefault="009004A3" w:rsidP="009004A3">
      <w:pPr>
        <w:pStyle w:val="Heading3"/>
      </w:pPr>
      <w:r>
        <w:t xml:space="preserve">South Africa </w:t>
      </w:r>
      <w:r>
        <w:t xml:space="preserve">Multi Asset Flexible </w:t>
      </w:r>
      <w:r>
        <w:t>Returns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9004A3" w:rsidRPr="004C29EA" w:rsidTr="004C29EA">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SAMAF 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SAMAF 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SAMAF Multi</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15.06%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14.42%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14.57%</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9.22%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5.36%</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-0.30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0.10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0.41</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1.88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1.04</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6.19%</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78.79%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0.00%</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70.40%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72.92%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78.70%</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9.63%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9.80%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7.28%</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-7.76%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-2.71%</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-19.22%</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-13.62%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-3.76%</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0.94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0.26</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Sharpe Ratio (9.84%)</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0.52</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0.59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0.81</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lastRenderedPageBreak/>
              <w:t>Sortino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0.90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1.27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2.25</w:t>
            </w:r>
          </w:p>
        </w:tc>
      </w:tr>
      <w:tr w:rsidR="009004A3" w:rsidRPr="004C29EA" w:rsidTr="004C29EA">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0.78</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1.06</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3.87</w:t>
            </w:r>
          </w:p>
        </w:tc>
      </w:tr>
      <w:tr w:rsidR="009004A3" w:rsidRPr="004C29EA" w:rsidTr="004C29EA">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004A3" w:rsidRPr="009004A3" w:rsidRDefault="009004A3" w:rsidP="009004A3">
            <w:pPr>
              <w:rPr>
                <w:rFonts w:ascii="Calibri" w:hAnsi="Calibri" w:cs="Calibri"/>
                <w:color w:val="000000"/>
                <w:sz w:val="20"/>
                <w:szCs w:val="20"/>
              </w:rPr>
            </w:pPr>
            <w:r w:rsidRPr="009004A3">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3.57</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2.17</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004A3" w:rsidRPr="009004A3" w:rsidRDefault="009004A3" w:rsidP="009004A3">
            <w:pPr>
              <w:jc w:val="center"/>
              <w:rPr>
                <w:rFonts w:ascii="Calibri" w:hAnsi="Calibri" w:cs="Calibri"/>
                <w:color w:val="000000"/>
                <w:sz w:val="20"/>
                <w:szCs w:val="20"/>
              </w:rPr>
            </w:pPr>
            <w:r w:rsidRPr="009004A3">
              <w:rPr>
                <w:rFonts w:ascii="Calibri" w:hAnsi="Calibri" w:cs="Calibri"/>
                <w:color w:val="000000"/>
                <w:sz w:val="20"/>
                <w:szCs w:val="20"/>
              </w:rPr>
              <w:t>0.75</w:t>
            </w:r>
          </w:p>
        </w:tc>
      </w:tr>
    </w:tbl>
    <w:p w:rsidR="004C29EA" w:rsidRDefault="004C29EA" w:rsidP="00864C76"/>
    <w:p w:rsidR="004C29EA" w:rsidRDefault="004C29EA" w:rsidP="00864C76"/>
    <w:p w:rsidR="00864C76" w:rsidRDefault="00864C76" w:rsidP="00864C76"/>
    <w:p w:rsidR="00864C76" w:rsidRDefault="00864C76" w:rsidP="00864C76">
      <w:r>
        <w:t xml:space="preserve">How do these compare to similar classification funds in South Africa? </w:t>
      </w:r>
      <w:r w:rsidRPr="00AE22AC">
        <w:rPr>
          <w:color w:val="FF0000"/>
        </w:rPr>
        <w:t>[</w:t>
      </w:r>
      <w:r w:rsidR="00A42118">
        <w:rPr>
          <w:color w:val="FF0000"/>
        </w:rPr>
        <w:t xml:space="preserve">get </w:t>
      </w:r>
      <w:r>
        <w:rPr>
          <w:color w:val="FF0000"/>
        </w:rPr>
        <w:t xml:space="preserve">more info from </w:t>
      </w:r>
      <w:r w:rsidRPr="00AE22AC">
        <w:rPr>
          <w:color w:val="FF0000"/>
        </w:rPr>
        <w:t>peregrine/pres</w:t>
      </w:r>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9.74%</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10.59%</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8.87%</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10.57%</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10.30%</w:t>
            </w:r>
          </w:p>
        </w:tc>
      </w:tr>
    </w:tbl>
    <w:p w:rsidR="00864C76" w:rsidRDefault="00864C76" w:rsidP="00864C76"/>
    <w:p w:rsidR="009004A3" w:rsidRDefault="009004A3">
      <w:pPr>
        <w:rPr>
          <w:rFonts w:asciiTheme="majorHAnsi" w:eastAsiaTheme="majorEastAsia" w:hAnsiTheme="majorHAnsi" w:cstheme="majorBidi"/>
          <w:color w:val="2F5496" w:themeColor="accent1" w:themeShade="BF"/>
          <w:sz w:val="32"/>
          <w:szCs w:val="32"/>
        </w:rPr>
      </w:pPr>
      <w:bookmarkStart w:id="42" w:name="_Toc478417206"/>
      <w:r>
        <w:br w:type="page"/>
      </w:r>
    </w:p>
    <w:p w:rsidR="006548D9" w:rsidRDefault="00F660DA" w:rsidP="00E14656">
      <w:pPr>
        <w:pStyle w:val="Heading1"/>
      </w:pPr>
      <w:r>
        <w:lastRenderedPageBreak/>
        <w:t>Conclusion</w:t>
      </w:r>
      <w:bookmarkEnd w:id="42"/>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43" w:name="_Toc478417207"/>
      <w:r>
        <w:lastRenderedPageBreak/>
        <w:t xml:space="preserve">Appendix </w:t>
      </w:r>
      <w:r w:rsidR="008A6076">
        <w:t xml:space="preserve">1 </w:t>
      </w:r>
      <w:r>
        <w:t xml:space="preserve">– </w:t>
      </w:r>
      <w:r w:rsidR="008A6076">
        <w:t>Data validity check</w:t>
      </w:r>
      <w:bookmarkEnd w:id="43"/>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8A6076" w:rsidTr="004C2995">
        <w:trPr>
          <w:trHeight w:hRule="exact" w:val="284"/>
          <w:jc w:val="center"/>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NAREIT</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5.42%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9.77%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8.12%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8.34%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9.64%</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15.71%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17.60%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8.47%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20.55%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18.16%</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0.30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0.13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0.22</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-56.40%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-67.65%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-68.18%</w:t>
            </w:r>
          </w:p>
        </w:tc>
      </w:tr>
      <w:tr w:rsidR="008A6076" w:rsidTr="004C2995">
        <w:trPr>
          <w:trHeight w:hRule="exact" w:val="284"/>
          <w:jc w:val="center"/>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11" w:type="pct"/>
        <w:jc w:val="center"/>
        <w:tblLayout w:type="fixed"/>
        <w:tblCellMar>
          <w:left w:w="0" w:type="dxa"/>
          <w:right w:w="0" w:type="dxa"/>
        </w:tblCellMar>
        <w:tblLook w:val="04A0" w:firstRow="1" w:lastRow="0" w:firstColumn="1" w:lastColumn="0" w:noHBand="0" w:noVBand="1"/>
      </w:tblPr>
      <w:tblGrid>
        <w:gridCol w:w="1692"/>
        <w:gridCol w:w="1223"/>
        <w:gridCol w:w="1223"/>
        <w:gridCol w:w="1222"/>
        <w:gridCol w:w="1222"/>
        <w:gridCol w:w="1222"/>
        <w:gridCol w:w="1222"/>
      </w:tblGrid>
      <w:tr w:rsidR="008A6076" w:rsidTr="004C2995">
        <w:trPr>
          <w:cantSplit/>
          <w:trHeight w:hRule="exact" w:val="284"/>
          <w:jc w:val="center"/>
        </w:trPr>
        <w:tc>
          <w:tcPr>
            <w:tcW w:w="93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4C2995">
        <w:trPr>
          <w:cantSplit/>
          <w:trHeight w:hRule="exact" w:val="284"/>
          <w:jc w:val="center"/>
        </w:trPr>
        <w:tc>
          <w:tcPr>
            <w:tcW w:w="93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4C2995" w:rsidRDefault="004C2995" w:rsidP="008A6076">
      <w:r>
        <w:t>Differences to fabers original research 1973-2012</w:t>
      </w:r>
    </w:p>
    <w:p w:rsidR="004C2995" w:rsidRDefault="004C2995"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44" w:name="_Toc478417208"/>
      <w:r>
        <w:lastRenderedPageBreak/>
        <w:t xml:space="preserve">Appendix 2 – </w:t>
      </w:r>
      <w:r w:rsidR="00920A0F">
        <w:t>Review of R</w:t>
      </w:r>
      <w:bookmarkEnd w:id="44"/>
    </w:p>
    <w:p w:rsidR="008C7798" w:rsidRDefault="008C7798" w:rsidP="0085446E"/>
    <w:p w:rsidR="00920A0F" w:rsidRDefault="00920A0F" w:rsidP="0085446E">
      <w:r>
        <w:t>One of the goals of this masters was to learn a new programming language R. R is an open source language widely used by data scientists for analysis in a wide variety of fields. Initiated in 1997, R has grown in popularity</w:t>
      </w:r>
      <w:r w:rsidR="005D79D9">
        <w:t xml:space="preserve"> along </w:t>
      </w:r>
      <w:r>
        <w:t xml:space="preserve">with </w:t>
      </w:r>
      <w:r w:rsidR="005D79D9">
        <w:t xml:space="preserve">an ever </w:t>
      </w:r>
      <w:r>
        <w:t xml:space="preserve">increasing number of </w:t>
      </w:r>
      <w:r w:rsidR="005D79D9">
        <w:t>packages available that extend the</w:t>
      </w:r>
      <w:r>
        <w:t xml:space="preserve"> base </w:t>
      </w:r>
      <w:r w:rsidR="005D79D9">
        <w:t xml:space="preserve">R </w:t>
      </w:r>
      <w:r>
        <w:t xml:space="preserve">functions. </w:t>
      </w:r>
    </w:p>
    <w:p w:rsidR="00920A0F" w:rsidRDefault="00920A0F" w:rsidP="0085446E">
      <w:r>
        <w:t xml:space="preserve">My experience using R </w:t>
      </w:r>
      <w:r w:rsidR="005D79D9">
        <w:t xml:space="preserve">over the last 9 months </w:t>
      </w:r>
      <w:r>
        <w:t xml:space="preserve">has been mixed. Despite being relatively fluent in other programming languages and generally </w:t>
      </w:r>
      <w:r w:rsidR="005D79D9">
        <w:t xml:space="preserve">very competent </w:t>
      </w:r>
      <w:r>
        <w:t xml:space="preserve">with computers, R proved to have a </w:t>
      </w:r>
      <w:r w:rsidR="005D79D9">
        <w:t xml:space="preserve">very </w:t>
      </w:r>
      <w:r>
        <w:t>steep learning curve.</w:t>
      </w:r>
      <w:r w:rsidR="00006BFA">
        <w:t xml:space="preserve"> Supported of R say this is an unavoidable byproduct of the languages power and flexibility however it is also related to the </w:t>
      </w:r>
      <w:r w:rsidR="006869A0">
        <w:t xml:space="preserve">minimal </w:t>
      </w:r>
      <w:r w:rsidR="00006BFA">
        <w:t>graphical user interface</w:t>
      </w:r>
      <w:r w:rsidR="006869A0">
        <w:t xml:space="preserve"> and requirement to enter everything via command line</w:t>
      </w:r>
      <w:r w:rsidR="00006BFA">
        <w:t>.</w:t>
      </w:r>
      <w:r>
        <w:t xml:space="preserve"> </w:t>
      </w:r>
      <w:r w:rsidR="005D79D9">
        <w:t>Based around S, a language written in 1970, R can be clunky and difficult to use</w:t>
      </w:r>
      <w:r w:rsidR="00006BFA">
        <w:t xml:space="preserve"> and is code based unless you install a third party GUI</w:t>
      </w:r>
      <w:r w:rsidR="005D79D9">
        <w:t xml:space="preserve">. </w:t>
      </w:r>
      <w:r>
        <w:t>Multiple hours were spent installing R</w:t>
      </w:r>
      <w:r w:rsidR="00006BFA">
        <w:t>, RStudio</w:t>
      </w:r>
      <w:r>
        <w:t xml:space="preserve"> and learning the basics and understanding the </w:t>
      </w:r>
      <w:r w:rsidR="005D79D9">
        <w:t xml:space="preserve">general </w:t>
      </w:r>
      <w:r>
        <w:t>workflow.</w:t>
      </w:r>
      <w:r w:rsidR="00006BFA">
        <w:t xml:space="preserve"> Installing packages especially on computers with strict proxies and firewalls also soaked up time.</w:t>
      </w:r>
    </w:p>
    <w:p w:rsidR="006869A0" w:rsidRDefault="005D79D9" w:rsidP="0085446E">
      <w:r>
        <w:t xml:space="preserve">R has many advantages; it’s free, </w:t>
      </w:r>
      <w:r w:rsidR="006869A0">
        <w:t xml:space="preserve">powerful for data analysis, </w:t>
      </w:r>
      <w:r>
        <w:t xml:space="preserve">open source and supported online by a large active user base. </w:t>
      </w:r>
      <w:r w:rsidR="006869A0">
        <w:t>Unfortunately,</w:t>
      </w:r>
      <w:r>
        <w:t xml:space="preserve"> one of the drawbacks to this is that support can be slow and finding solutions or debugging code can be frustrating. Support was found from a variety of sources – online forums, mailing lists, IRC chats as simply searching the internet to find solutions on sites such as stackoverflow.</w:t>
      </w:r>
      <w:r w:rsidR="006869A0">
        <w:t xml:space="preserve"> </w:t>
      </w:r>
    </w:p>
    <w:p w:rsidR="00920A0F" w:rsidRDefault="006869A0" w:rsidP="0085446E">
      <w:r>
        <w:t>One of the biggest strengths of working with R was packages.</w:t>
      </w:r>
      <w:r w:rsidRPr="006869A0">
        <w:t xml:space="preserve"> </w:t>
      </w:r>
      <w:r>
        <w:t>Packages are user created bundles of code, that add specialist functions to the base R code. For example all performance metrics in the report was the result of one package, with many metrics requiring a simple line of code identifying returns to calculate CAGRs, Sharpe Ratios, and max drawdowns. A summary of the packages used can be found below.</w:t>
      </w:r>
    </w:p>
    <w:p w:rsidR="00920A0F" w:rsidRDefault="00920A0F" w:rsidP="0085446E">
      <w:r>
        <w:t>One issue I found with using packages is that updates can occur and remove prev</w:t>
      </w:r>
      <w:r w:rsidR="005D79D9">
        <w:t>ious functionality. For example</w:t>
      </w:r>
      <w:r>
        <w:t xml:space="preserve"> the package performanceanalytics</w:t>
      </w:r>
      <w:r w:rsidR="005D79D9">
        <w:t>,</w:t>
      </w:r>
      <w:r>
        <w:t xml:space="preserve"> which provides several </w:t>
      </w:r>
      <w:r w:rsidR="005D79D9">
        <w:t>functions for analysing portfolio performance, updated it graphs to use xyz. This resulted in several charts no longer displaying as originally designed, with simple things such as date formats no longer working to more critical things such as being unable to display on a log y axis.</w:t>
      </w:r>
    </w:p>
    <w:p w:rsidR="00920A0F" w:rsidRDefault="00920A0F" w:rsidP="0085446E">
      <w:r>
        <w:t>There are a variety of courses available online from coursera, datacamp as well as a book R4DS that I would recommend for anyone interested in exploring R further.</w:t>
      </w:r>
    </w:p>
    <w:p w:rsidR="005D79D9" w:rsidRDefault="006869A0" w:rsidP="00C25CB5">
      <w:r>
        <w:t>Packages used:</w:t>
      </w:r>
    </w:p>
    <w:tbl>
      <w:tblPr>
        <w:tblStyle w:val="TableGrid"/>
        <w:tblW w:w="0" w:type="auto"/>
        <w:tblLook w:val="04A0" w:firstRow="1" w:lastRow="0" w:firstColumn="1" w:lastColumn="0" w:noHBand="0" w:noVBand="1"/>
      </w:tblPr>
      <w:tblGrid>
        <w:gridCol w:w="2263"/>
        <w:gridCol w:w="6753"/>
      </w:tblGrid>
      <w:tr w:rsidR="005D79D9" w:rsidTr="005D79D9">
        <w:tc>
          <w:tcPr>
            <w:tcW w:w="2263" w:type="dxa"/>
          </w:tcPr>
          <w:p w:rsidR="005D79D9" w:rsidRDefault="005D79D9" w:rsidP="0085446E">
            <w:r>
              <w:t>PerformanceAnalytics</w:t>
            </w:r>
          </w:p>
        </w:tc>
        <w:tc>
          <w:tcPr>
            <w:tcW w:w="6753" w:type="dxa"/>
          </w:tcPr>
          <w:p w:rsidR="005D79D9" w:rsidRDefault="005D79D9" w:rsidP="0085446E">
            <w:r>
              <w:t>Collection of econometric functions for performance and risk analysis</w:t>
            </w:r>
          </w:p>
        </w:tc>
      </w:tr>
      <w:tr w:rsidR="005D79D9" w:rsidTr="005D79D9">
        <w:tc>
          <w:tcPr>
            <w:tcW w:w="2263" w:type="dxa"/>
          </w:tcPr>
          <w:p w:rsidR="005D79D9" w:rsidRDefault="005D79D9" w:rsidP="0085446E">
            <w:r>
              <w:t>Quantmod</w:t>
            </w:r>
          </w:p>
        </w:tc>
        <w:tc>
          <w:tcPr>
            <w:tcW w:w="6753" w:type="dxa"/>
          </w:tcPr>
          <w:p w:rsidR="005D79D9" w:rsidRDefault="006869A0" w:rsidP="0085446E">
            <w:r>
              <w:t>Charting, downloading of data from FRED, yahoo finance.</w:t>
            </w:r>
          </w:p>
        </w:tc>
      </w:tr>
      <w:tr w:rsidR="005D79D9" w:rsidTr="005D79D9">
        <w:tc>
          <w:tcPr>
            <w:tcW w:w="2263" w:type="dxa"/>
          </w:tcPr>
          <w:p w:rsidR="005D79D9" w:rsidRDefault="006869A0" w:rsidP="0085446E">
            <w:r>
              <w:t>Quantstrat</w:t>
            </w:r>
          </w:p>
        </w:tc>
        <w:tc>
          <w:tcPr>
            <w:tcW w:w="6753" w:type="dxa"/>
          </w:tcPr>
          <w:p w:rsidR="005D79D9" w:rsidRDefault="006869A0" w:rsidP="0085446E">
            <w:r>
              <w:t>Functions for building trading strategies</w:t>
            </w:r>
          </w:p>
        </w:tc>
      </w:tr>
      <w:tr w:rsidR="005D79D9" w:rsidTr="005D79D9">
        <w:tc>
          <w:tcPr>
            <w:tcW w:w="2263" w:type="dxa"/>
          </w:tcPr>
          <w:p w:rsidR="005D79D9" w:rsidRDefault="006869A0" w:rsidP="0085446E">
            <w:r>
              <w:t>Dplyr / Tidyverse</w:t>
            </w:r>
          </w:p>
        </w:tc>
        <w:tc>
          <w:tcPr>
            <w:tcW w:w="6753" w:type="dxa"/>
          </w:tcPr>
          <w:p w:rsidR="005D79D9" w:rsidRDefault="005D79D9" w:rsidP="0085446E"/>
        </w:tc>
      </w:tr>
      <w:tr w:rsidR="005D79D9" w:rsidTr="005D79D9">
        <w:tc>
          <w:tcPr>
            <w:tcW w:w="2263" w:type="dxa"/>
          </w:tcPr>
          <w:p w:rsidR="005D79D9" w:rsidRDefault="006869A0" w:rsidP="0085446E">
            <w:r>
              <w:t>Rblpapi</w:t>
            </w:r>
          </w:p>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bl>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bookmarkStart w:id="45" w:name="_Toc478417209" w:displacedByCustomXml="next"/>
    <w:sdt>
      <w:sdtPr>
        <w:rPr>
          <w:rFonts w:asciiTheme="minorHAnsi" w:eastAsiaTheme="minorHAnsi" w:hAnsiTheme="minorHAnsi" w:cstheme="minorBidi"/>
          <w:color w:val="auto"/>
          <w:sz w:val="22"/>
          <w:szCs w:val="22"/>
        </w:rPr>
        <w:id w:val="1736276811"/>
        <w:docPartObj>
          <w:docPartGallery w:val="Bibliographies"/>
          <w:docPartUnique/>
        </w:docPartObj>
      </w:sdtPr>
      <w:sdtContent>
        <w:p w:rsidR="00F10521" w:rsidRDefault="00F10521">
          <w:pPr>
            <w:pStyle w:val="Heading1"/>
          </w:pPr>
          <w:r>
            <w:t>References</w:t>
          </w:r>
          <w:bookmarkEnd w:id="45"/>
        </w:p>
        <w:sdt>
          <w:sdtPr>
            <w:id w:val="-573587230"/>
            <w:bibliography/>
          </w:sdtPr>
          <w:sdtContent>
            <w:p w:rsidR="00330137" w:rsidRDefault="00F10521" w:rsidP="00330137">
              <w:pPr>
                <w:pStyle w:val="Bibliography"/>
                <w:rPr>
                  <w:noProof/>
                  <w:sz w:val="24"/>
                  <w:szCs w:val="24"/>
                </w:rPr>
              </w:pPr>
              <w:r>
                <w:fldChar w:fldCharType="begin"/>
              </w:r>
              <w:r>
                <w:instrText xml:space="preserve"> BIBLIOGRAPHY </w:instrText>
              </w:r>
              <w:r>
                <w:fldChar w:fldCharType="separate"/>
              </w:r>
              <w:r w:rsidR="00330137">
                <w:rPr>
                  <w:noProof/>
                </w:rPr>
                <w:t xml:space="preserve">all, I. e., 2016. </w:t>
              </w:r>
              <w:r w:rsidR="00330137">
                <w:rPr>
                  <w:i/>
                  <w:iCs/>
                  <w:noProof/>
                </w:rPr>
                <w:t xml:space="preserve">Stocks, Bonds, Bills and Inflation (SBBI) Yearbook. </w:t>
              </w:r>
              <w:r w:rsidR="00330137">
                <w:rPr>
                  <w:noProof/>
                </w:rPr>
                <w:t>s.l.:s.n.</w:t>
              </w:r>
            </w:p>
            <w:p w:rsidR="00330137" w:rsidRDefault="00330137" w:rsidP="00330137">
              <w:pPr>
                <w:pStyle w:val="Bibliography"/>
                <w:rPr>
                  <w:noProof/>
                </w:rPr>
              </w:pPr>
              <w:r>
                <w:rPr>
                  <w:noProof/>
                </w:rPr>
                <w:t xml:space="preserve">Bacon, C., 2004. </w:t>
              </w:r>
              <w:r>
                <w:rPr>
                  <w:i/>
                  <w:iCs/>
                  <w:noProof/>
                </w:rPr>
                <w:t xml:space="preserve">Practical Portfolio Performance Measurement and Attribution. </w:t>
              </w:r>
              <w:r>
                <w:rPr>
                  <w:noProof/>
                </w:rPr>
                <w:t>s.l.:s.n.</w:t>
              </w:r>
            </w:p>
            <w:p w:rsidR="00330137" w:rsidRDefault="00330137" w:rsidP="00330137">
              <w:pPr>
                <w:pStyle w:val="Bibliography"/>
                <w:rPr>
                  <w:noProof/>
                </w:rPr>
              </w:pPr>
              <w:r>
                <w:rPr>
                  <w:noProof/>
                </w:rPr>
                <w:t xml:space="preserve">Clenow, A., 2013. </w:t>
              </w:r>
              <w:r>
                <w:rPr>
                  <w:i/>
                  <w:iCs/>
                  <w:noProof/>
                </w:rPr>
                <w:t xml:space="preserve">Following the Trend. </w:t>
              </w:r>
              <w:r>
                <w:rPr>
                  <w:noProof/>
                </w:rPr>
                <w:t>s.l.:s.n.</w:t>
              </w:r>
            </w:p>
            <w:p w:rsidR="00330137" w:rsidRDefault="00330137" w:rsidP="00330137">
              <w:pPr>
                <w:pStyle w:val="Bibliography"/>
                <w:rPr>
                  <w:noProof/>
                </w:rPr>
              </w:pPr>
              <w:r>
                <w:rPr>
                  <w:noProof/>
                </w:rPr>
                <w:t xml:space="preserve">Covel, M. W., 2013. </w:t>
              </w:r>
              <w:r>
                <w:rPr>
                  <w:i/>
                  <w:iCs/>
                  <w:noProof/>
                </w:rPr>
                <w:t xml:space="preserve">Trend Following. </w:t>
              </w:r>
              <w:r>
                <w:rPr>
                  <w:noProof/>
                </w:rPr>
                <w:t>s.l.:s.n.</w:t>
              </w:r>
            </w:p>
            <w:p w:rsidR="00330137" w:rsidRDefault="00330137" w:rsidP="00330137">
              <w:pPr>
                <w:pStyle w:val="Bibliography"/>
                <w:rPr>
                  <w:noProof/>
                </w:rPr>
              </w:pPr>
              <w:r>
                <w:rPr>
                  <w:noProof/>
                </w:rPr>
                <w:t xml:space="preserve">Erb, C. B. &amp; Harvey, C. R., 2006. The Strategic and Tactical Value of Commodity Futures. </w:t>
              </w:r>
              <w:r>
                <w:rPr>
                  <w:i/>
                  <w:iCs/>
                  <w:noProof/>
                </w:rPr>
                <w:t xml:space="preserve">Financial Analysts Journal, </w:t>
              </w:r>
              <w:r>
                <w:rPr>
                  <w:noProof/>
                </w:rPr>
                <w:t>Volume 62, pp. 69-97.</w:t>
              </w:r>
            </w:p>
            <w:p w:rsidR="00330137" w:rsidRDefault="00330137" w:rsidP="00330137">
              <w:pPr>
                <w:pStyle w:val="Bibliography"/>
                <w:rPr>
                  <w:noProof/>
                </w:rPr>
              </w:pPr>
              <w:r>
                <w:rPr>
                  <w:noProof/>
                </w:rPr>
                <w:t xml:space="preserve">Faber, M. T., 2007. A Quantitative Approach to Tactical Asset Allocation. </w:t>
              </w:r>
              <w:r>
                <w:rPr>
                  <w:i/>
                  <w:iCs/>
                  <w:noProof/>
                </w:rPr>
                <w:t xml:space="preserve">The Journal of Wealth Management, </w:t>
              </w:r>
              <w:r>
                <w:rPr>
                  <w:noProof/>
                </w:rPr>
                <w:t>Issue Spring, pp. 69-79.</w:t>
              </w:r>
            </w:p>
            <w:p w:rsidR="00330137" w:rsidRDefault="00330137" w:rsidP="00330137">
              <w:pPr>
                <w:pStyle w:val="Bibliography"/>
                <w:rPr>
                  <w:noProof/>
                </w:rPr>
              </w:pPr>
              <w:r>
                <w:rPr>
                  <w:noProof/>
                </w:rPr>
                <w:t xml:space="preserve">Gorton, G. &amp; Rouwenhorst, K. G., 2004. Facts and Fantasies about Commodity Futures. </w:t>
              </w:r>
              <w:r>
                <w:rPr>
                  <w:i/>
                  <w:iCs/>
                  <w:noProof/>
                </w:rPr>
                <w:t>Yale ICF Working Paper No. 04-20.</w:t>
              </w:r>
            </w:p>
            <w:p w:rsidR="00330137" w:rsidRDefault="00330137" w:rsidP="00330137">
              <w:pPr>
                <w:pStyle w:val="Bibliography"/>
                <w:rPr>
                  <w:noProof/>
                </w:rPr>
              </w:pPr>
              <w:r>
                <w:rPr>
                  <w:noProof/>
                </w:rPr>
                <w:t xml:space="preserve">Greyserman, A. &amp; Kaminski, K., 2014. </w:t>
              </w:r>
              <w:r>
                <w:rPr>
                  <w:i/>
                  <w:iCs/>
                  <w:noProof/>
                </w:rPr>
                <w:t xml:space="preserve">Trend Following with Managed Futures: The Search for Crisis Alpha. </w:t>
              </w:r>
              <w:r>
                <w:rPr>
                  <w:noProof/>
                </w:rPr>
                <w:t>s.l.:s.n.</w:t>
              </w:r>
            </w:p>
            <w:p w:rsidR="00330137" w:rsidRDefault="00330137" w:rsidP="00330137">
              <w:pPr>
                <w:pStyle w:val="Bibliography"/>
                <w:rPr>
                  <w:noProof/>
                </w:rPr>
              </w:pPr>
              <w:r>
                <w:rPr>
                  <w:noProof/>
                </w:rPr>
                <w:t xml:space="preserve">Ibbotson Associates, 2006. </w:t>
              </w:r>
              <w:r>
                <w:rPr>
                  <w:i/>
                  <w:iCs/>
                  <w:noProof/>
                </w:rPr>
                <w:t xml:space="preserve">Strategic Asset Allocation and Commodities, </w:t>
              </w:r>
              <w:r>
                <w:rPr>
                  <w:noProof/>
                </w:rPr>
                <w:t>s.l.: PIMCO.</w:t>
              </w:r>
            </w:p>
            <w:p w:rsidR="00330137" w:rsidRDefault="00330137" w:rsidP="00330137">
              <w:pPr>
                <w:pStyle w:val="Bibliography"/>
                <w:rPr>
                  <w:noProof/>
                </w:rPr>
              </w:pPr>
              <w:r>
                <w:rPr>
                  <w:noProof/>
                </w:rPr>
                <w:t xml:space="preserve">Ilmanen, A., 2011. </w:t>
              </w:r>
              <w:r>
                <w:rPr>
                  <w:i/>
                  <w:iCs/>
                  <w:noProof/>
                </w:rPr>
                <w:t xml:space="preserve">Expected Returns: An Investor's Guide to Harvesting Market Rewards. </w:t>
              </w:r>
              <w:r>
                <w:rPr>
                  <w:noProof/>
                </w:rPr>
                <w:t>s.l.:s.n.</w:t>
              </w:r>
            </w:p>
            <w:p w:rsidR="00330137" w:rsidRDefault="00330137" w:rsidP="00330137">
              <w:pPr>
                <w:pStyle w:val="Bibliography"/>
                <w:rPr>
                  <w:noProof/>
                </w:rPr>
              </w:pPr>
              <w:r>
                <w:rPr>
                  <w:noProof/>
                </w:rPr>
                <w:t xml:space="preserve">Jennings, W. W. &amp; Payne, B. C., 2016. Fees Eat Diversification Lunch. </w:t>
              </w:r>
              <w:r>
                <w:rPr>
                  <w:i/>
                  <w:iCs/>
                  <w:noProof/>
                </w:rPr>
                <w:t xml:space="preserve">Financial Analysts Journal, </w:t>
              </w:r>
              <w:r>
                <w:rPr>
                  <w:noProof/>
                </w:rPr>
                <w:t>72(2), pp. 31-40.</w:t>
              </w:r>
            </w:p>
            <w:p w:rsidR="00330137" w:rsidRDefault="00330137" w:rsidP="00330137">
              <w:pPr>
                <w:pStyle w:val="Bibliography"/>
                <w:rPr>
                  <w:noProof/>
                </w:rPr>
              </w:pPr>
              <w:r>
                <w:rPr>
                  <w:noProof/>
                </w:rPr>
                <w:t xml:space="preserve">Markowitz, H., 1952. Portfolio Selection. </w:t>
              </w:r>
              <w:r>
                <w:rPr>
                  <w:i/>
                  <w:iCs/>
                  <w:noProof/>
                </w:rPr>
                <w:t xml:space="preserve">The Journal of Finance, </w:t>
              </w:r>
              <w:r>
                <w:rPr>
                  <w:noProof/>
                </w:rPr>
                <w:t>7(1), pp. 77-91.</w:t>
              </w:r>
            </w:p>
            <w:p w:rsidR="00330137" w:rsidRDefault="00330137" w:rsidP="00330137">
              <w:pPr>
                <w:pStyle w:val="Bibliography"/>
                <w:rPr>
                  <w:noProof/>
                </w:rPr>
              </w:pPr>
              <w:r>
                <w:rPr>
                  <w:noProof/>
                </w:rPr>
                <w:t xml:space="preserve">Martin, P. G. &amp; McCann, B. B., 1989. </w:t>
              </w:r>
              <w:r>
                <w:rPr>
                  <w:i/>
                  <w:iCs/>
                  <w:noProof/>
                </w:rPr>
                <w:t xml:space="preserve">The Investor's Guide to Fidelity Funds. </w:t>
              </w:r>
              <w:r>
                <w:rPr>
                  <w:noProof/>
                </w:rPr>
                <w:t>s.l.:s.n.</w:t>
              </w:r>
            </w:p>
            <w:p w:rsidR="00330137" w:rsidRDefault="00330137" w:rsidP="00330137">
              <w:pPr>
                <w:pStyle w:val="Bibliography"/>
                <w:rPr>
                  <w:noProof/>
                </w:rPr>
              </w:pPr>
              <w:r>
                <w:rPr>
                  <w:noProof/>
                </w:rPr>
                <w:t xml:space="preserve">Sandoval Jr, L. &amp; Franca, I., 2010. </w:t>
              </w:r>
              <w:r>
                <w:rPr>
                  <w:i/>
                  <w:iCs/>
                  <w:noProof/>
                </w:rPr>
                <w:t xml:space="preserve">Correlation of financial markets in times of crisis, </w:t>
              </w:r>
              <w:r>
                <w:rPr>
                  <w:noProof/>
                </w:rPr>
                <w:t>s.l.: s.n.</w:t>
              </w:r>
            </w:p>
            <w:p w:rsidR="00F10521" w:rsidRDefault="00F10521" w:rsidP="00330137">
              <w:r>
                <w:rPr>
                  <w:b/>
                  <w:bCs/>
                  <w:noProof/>
                </w:rPr>
                <w:fldChar w:fldCharType="end"/>
              </w:r>
            </w:p>
          </w:sdtContent>
        </w:sdt>
      </w:sdtContent>
    </w:sdt>
    <w:p w:rsidR="008731B2" w:rsidRDefault="008731B2" w:rsidP="00F10521"/>
    <w:p w:rsidR="0085446E" w:rsidRDefault="0085446E" w:rsidP="009B072D">
      <w:pPr>
        <w:pStyle w:val="Heading1"/>
      </w:pPr>
    </w:p>
    <w:p w:rsidR="008731B2" w:rsidRDefault="008731B2" w:rsidP="008731B2"/>
    <w:p w:rsidR="004C2995" w:rsidRDefault="004C2995" w:rsidP="004C2995">
      <w:r>
        <w:t xml:space="preserve">Domanski, Dietrich and Heath, Alexandra (2007). Financial Investors and Commodity Markets. BIS Quarterly Review, March 2017, p. 53-67. </w:t>
      </w:r>
    </w:p>
    <w:p w:rsidR="004C2995" w:rsidRDefault="004C2995" w:rsidP="004C2995">
      <w:r w:rsidRPr="005C02B4">
        <w:t>Faber, Meb</w:t>
      </w:r>
      <w:r>
        <w:t xml:space="preserve"> (2006).</w:t>
      </w:r>
      <w:r w:rsidRPr="005C02B4">
        <w:t xml:space="preserve"> A Quantitative Approach to Tactical Asset Allocation</w:t>
      </w:r>
      <w:r>
        <w:t xml:space="preserve"> (working paper)</w:t>
      </w:r>
      <w:r w:rsidRPr="005C02B4">
        <w:t>.</w:t>
      </w:r>
    </w:p>
    <w:p w:rsidR="004C2995" w:rsidRDefault="004C2995" w:rsidP="004C2995">
      <w:r w:rsidRPr="005C02B4">
        <w:t>Faber, Meb</w:t>
      </w:r>
      <w:r>
        <w:t xml:space="preserve"> (2007).</w:t>
      </w:r>
      <w:r w:rsidRPr="005C02B4">
        <w:t xml:space="preserve"> A Quantitative Approach to Tactical Asset Allocation. The Journal of</w:t>
      </w:r>
      <w:r>
        <w:t xml:space="preserve"> Wealth Management, Spring 2007, p 69-79</w:t>
      </w:r>
    </w:p>
    <w:p w:rsidR="004C2995" w:rsidRPr="00C27597" w:rsidRDefault="004C2995" w:rsidP="004C2995">
      <w:r>
        <w:t>Ibbotson et all. 2016 Stocks, Bonds, Bills and Inflation (SBBI) Yearbook year book</w:t>
      </w:r>
    </w:p>
    <w:p w:rsidR="004C2995" w:rsidRDefault="004C2995" w:rsidP="004C2995">
      <w:r>
        <w:t>Jennings, William W. and Payne, Brian C (2016). Fees Eat Diversifications Lunch. Financial Analysts Journal, Volume 72, Issue 2, p. 31-40.</w:t>
      </w:r>
    </w:p>
    <w:p w:rsidR="004C2995" w:rsidRDefault="004C2995" w:rsidP="004C2995">
      <w:r>
        <w:t>Sandoval Jr, Leonidas and Franca, Italo (2010). “Correlation of financial markets in times of crisis”</w:t>
      </w:r>
    </w:p>
    <w:p w:rsidR="004C2995" w:rsidRDefault="004C2995" w:rsidP="004C2995">
      <w:r>
        <w:t>Statistical Mechanics and its Applications, 391, 1, p 187-208</w:t>
      </w:r>
    </w:p>
    <w:p w:rsidR="004C2995" w:rsidRPr="00342224" w:rsidRDefault="004C2995" w:rsidP="004C2995"/>
    <w:p w:rsidR="004C2995" w:rsidRDefault="004C2995" w:rsidP="004C2995">
      <w:r>
        <w:t>Inker, B., (2020). “The Hidden Risks of Risk Parity Portfolios”, GMO White Paper</w:t>
      </w:r>
    </w:p>
    <w:p w:rsidR="004C2995" w:rsidRDefault="004C2995" w:rsidP="004C2995">
      <w:r w:rsidRPr="0085446E">
        <w:t xml:space="preserve">Faber, Meb, A Quantitative Approach to Tactical Asset Allocation (February 1, 2013). The Journal of Wealth Management, Spring 2007 . Available at SSRN: </w:t>
      </w:r>
      <w:hyperlink r:id="rId44" w:history="1">
        <w:r w:rsidRPr="00A3555D">
          <w:rPr>
            <w:rStyle w:val="Hyperlink"/>
          </w:rPr>
          <w:t>https://ssrn.com/abstract=962461</w:t>
        </w:r>
      </w:hyperlink>
    </w:p>
    <w:p w:rsidR="004C2995" w:rsidRDefault="004C2995" w:rsidP="004C2995">
      <w:r>
        <w:t>Faber, M., (2007). “A Quantitative Approach to Tactical Asset Allocation”, Journal of Investing, 16, 69-79.</w:t>
      </w:r>
    </w:p>
    <w:p w:rsidR="004C2995" w:rsidRDefault="004C2995" w:rsidP="004C2995">
      <w:r>
        <w:t>Ilmanen A., (2011). Expected Returns.John Wiley &amp; Sons</w:t>
      </w:r>
    </w:p>
    <w:p w:rsidR="004C2995" w:rsidRPr="0085446E" w:rsidRDefault="004C2995" w:rsidP="004C2995">
      <w:r>
        <w:t>Friesen, G., Weller, P. and L. Dunham, (2009), “Price trends and patterns in technical analysis: A theoretical and empirical examination”, Journal of Banking &amp; Finance, 33, 1089- 1100.</w:t>
      </w:r>
    </w:p>
    <w:p w:rsidR="004C2995" w:rsidRPr="0085446E" w:rsidRDefault="004C2995" w:rsidP="004C2995">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731B2" w:rsidRPr="008731B2" w:rsidRDefault="008731B2" w:rsidP="008731B2"/>
    <w:sectPr w:rsidR="008731B2" w:rsidRPr="008731B2" w:rsidSect="0032524B">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B64" w:rsidRDefault="00C46B64" w:rsidP="0032524B">
      <w:pPr>
        <w:spacing w:after="0" w:line="240" w:lineRule="auto"/>
      </w:pPr>
      <w:r>
        <w:separator/>
      </w:r>
    </w:p>
  </w:endnote>
  <w:endnote w:type="continuationSeparator" w:id="0">
    <w:p w:rsidR="00C46B64" w:rsidRDefault="00C46B64"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9F6B4A" w:rsidRDefault="009F6B4A">
        <w:pPr>
          <w:pStyle w:val="Footer"/>
          <w:jc w:val="center"/>
        </w:pPr>
        <w:r>
          <w:fldChar w:fldCharType="begin"/>
        </w:r>
        <w:r>
          <w:instrText xml:space="preserve"> PAGE   \* MERGEFORMAT </w:instrText>
        </w:r>
        <w:r>
          <w:fldChar w:fldCharType="separate"/>
        </w:r>
        <w:r w:rsidR="009004A3">
          <w:rPr>
            <w:noProof/>
          </w:rPr>
          <w:t>44</w:t>
        </w:r>
        <w:r>
          <w:rPr>
            <w:noProof/>
          </w:rPr>
          <w:fldChar w:fldCharType="end"/>
        </w:r>
      </w:p>
    </w:sdtContent>
  </w:sdt>
  <w:p w:rsidR="009F6B4A" w:rsidRDefault="009F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B64" w:rsidRDefault="00C46B64" w:rsidP="0032524B">
      <w:pPr>
        <w:spacing w:after="0" w:line="240" w:lineRule="auto"/>
      </w:pPr>
      <w:r>
        <w:separator/>
      </w:r>
    </w:p>
  </w:footnote>
  <w:footnote w:type="continuationSeparator" w:id="0">
    <w:p w:rsidR="00C46B64" w:rsidRDefault="00C46B64"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59CD"/>
    <w:multiLevelType w:val="hybridMultilevel"/>
    <w:tmpl w:val="AF6EB738"/>
    <w:lvl w:ilvl="0" w:tplc="C4162A6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0F30C3"/>
    <w:multiLevelType w:val="hybridMultilevel"/>
    <w:tmpl w:val="DD3AB332"/>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5825D29"/>
    <w:multiLevelType w:val="hybridMultilevel"/>
    <w:tmpl w:val="4CF602CC"/>
    <w:lvl w:ilvl="0" w:tplc="BA34CB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AE0819"/>
    <w:multiLevelType w:val="hybridMultilevel"/>
    <w:tmpl w:val="C08C4FA4"/>
    <w:lvl w:ilvl="0" w:tplc="C4162A6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CF1CD5"/>
    <w:multiLevelType w:val="hybridMultilevel"/>
    <w:tmpl w:val="791A42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10"/>
  </w:num>
  <w:num w:numId="6">
    <w:abstractNumId w:val="16"/>
  </w:num>
  <w:num w:numId="7">
    <w:abstractNumId w:val="4"/>
  </w:num>
  <w:num w:numId="8">
    <w:abstractNumId w:val="19"/>
  </w:num>
  <w:num w:numId="9">
    <w:abstractNumId w:val="8"/>
  </w:num>
  <w:num w:numId="10">
    <w:abstractNumId w:val="7"/>
  </w:num>
  <w:num w:numId="11">
    <w:abstractNumId w:val="3"/>
  </w:num>
  <w:num w:numId="12">
    <w:abstractNumId w:val="14"/>
  </w:num>
  <w:num w:numId="13">
    <w:abstractNumId w:val="17"/>
  </w:num>
  <w:num w:numId="14">
    <w:abstractNumId w:val="20"/>
  </w:num>
  <w:num w:numId="15">
    <w:abstractNumId w:val="15"/>
  </w:num>
  <w:num w:numId="16">
    <w:abstractNumId w:val="18"/>
  </w:num>
  <w:num w:numId="17">
    <w:abstractNumId w:val="13"/>
  </w:num>
  <w:num w:numId="18">
    <w:abstractNumId w:val="9"/>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06BFA"/>
    <w:rsid w:val="00014CEE"/>
    <w:rsid w:val="000162E5"/>
    <w:rsid w:val="00017E0A"/>
    <w:rsid w:val="00024282"/>
    <w:rsid w:val="000249B9"/>
    <w:rsid w:val="00024D5E"/>
    <w:rsid w:val="0002778A"/>
    <w:rsid w:val="00027946"/>
    <w:rsid w:val="00034076"/>
    <w:rsid w:val="00043B6B"/>
    <w:rsid w:val="0006019A"/>
    <w:rsid w:val="00073BA1"/>
    <w:rsid w:val="00087048"/>
    <w:rsid w:val="00096DA8"/>
    <w:rsid w:val="0009700C"/>
    <w:rsid w:val="000A072F"/>
    <w:rsid w:val="000B6AFB"/>
    <w:rsid w:val="000C1F6C"/>
    <w:rsid w:val="000C2681"/>
    <w:rsid w:val="000C5614"/>
    <w:rsid w:val="000D04A8"/>
    <w:rsid w:val="000D7935"/>
    <w:rsid w:val="000E22BF"/>
    <w:rsid w:val="000F3414"/>
    <w:rsid w:val="000F7561"/>
    <w:rsid w:val="00100EFD"/>
    <w:rsid w:val="00111F6A"/>
    <w:rsid w:val="0012261A"/>
    <w:rsid w:val="00127827"/>
    <w:rsid w:val="001319D7"/>
    <w:rsid w:val="00146249"/>
    <w:rsid w:val="00154972"/>
    <w:rsid w:val="001579FA"/>
    <w:rsid w:val="00171434"/>
    <w:rsid w:val="00180072"/>
    <w:rsid w:val="00185A31"/>
    <w:rsid w:val="00195FA5"/>
    <w:rsid w:val="001A11A1"/>
    <w:rsid w:val="001A5463"/>
    <w:rsid w:val="001B08C3"/>
    <w:rsid w:val="001B2BF6"/>
    <w:rsid w:val="001B693D"/>
    <w:rsid w:val="001C3F6A"/>
    <w:rsid w:val="001D395F"/>
    <w:rsid w:val="001D4B36"/>
    <w:rsid w:val="001D5176"/>
    <w:rsid w:val="001E0AD8"/>
    <w:rsid w:val="001E4474"/>
    <w:rsid w:val="001F431D"/>
    <w:rsid w:val="00204D69"/>
    <w:rsid w:val="00213D2E"/>
    <w:rsid w:val="00216B37"/>
    <w:rsid w:val="00225D4B"/>
    <w:rsid w:val="00226442"/>
    <w:rsid w:val="00243FFA"/>
    <w:rsid w:val="0024540D"/>
    <w:rsid w:val="00264EC2"/>
    <w:rsid w:val="00265C86"/>
    <w:rsid w:val="002822D0"/>
    <w:rsid w:val="002853D3"/>
    <w:rsid w:val="0029464D"/>
    <w:rsid w:val="002A1F38"/>
    <w:rsid w:val="002A4269"/>
    <w:rsid w:val="002B670A"/>
    <w:rsid w:val="002C2F6C"/>
    <w:rsid w:val="002C6E6D"/>
    <w:rsid w:val="002C6FA9"/>
    <w:rsid w:val="002D4721"/>
    <w:rsid w:val="002E1D83"/>
    <w:rsid w:val="002E6D21"/>
    <w:rsid w:val="002F18C8"/>
    <w:rsid w:val="002F2D72"/>
    <w:rsid w:val="002F38DA"/>
    <w:rsid w:val="0030054F"/>
    <w:rsid w:val="00304B6A"/>
    <w:rsid w:val="00304BF9"/>
    <w:rsid w:val="00306F0F"/>
    <w:rsid w:val="003074DF"/>
    <w:rsid w:val="00307611"/>
    <w:rsid w:val="003247F2"/>
    <w:rsid w:val="0032524B"/>
    <w:rsid w:val="00330137"/>
    <w:rsid w:val="00334169"/>
    <w:rsid w:val="00334500"/>
    <w:rsid w:val="00336B37"/>
    <w:rsid w:val="003370E0"/>
    <w:rsid w:val="003378FC"/>
    <w:rsid w:val="00342224"/>
    <w:rsid w:val="003442F1"/>
    <w:rsid w:val="0034549A"/>
    <w:rsid w:val="003512F9"/>
    <w:rsid w:val="0035168C"/>
    <w:rsid w:val="00351EAB"/>
    <w:rsid w:val="00362239"/>
    <w:rsid w:val="00370B57"/>
    <w:rsid w:val="003758DB"/>
    <w:rsid w:val="00386F37"/>
    <w:rsid w:val="00390B14"/>
    <w:rsid w:val="003962C2"/>
    <w:rsid w:val="003B0BD6"/>
    <w:rsid w:val="003B6C63"/>
    <w:rsid w:val="003C1378"/>
    <w:rsid w:val="003C1858"/>
    <w:rsid w:val="003C330E"/>
    <w:rsid w:val="003D4BD5"/>
    <w:rsid w:val="003E2D4C"/>
    <w:rsid w:val="003E2D5A"/>
    <w:rsid w:val="003E6CD1"/>
    <w:rsid w:val="003F23CE"/>
    <w:rsid w:val="003F53AA"/>
    <w:rsid w:val="00404AF1"/>
    <w:rsid w:val="0040717F"/>
    <w:rsid w:val="00416910"/>
    <w:rsid w:val="004204FD"/>
    <w:rsid w:val="004423BE"/>
    <w:rsid w:val="00445B2D"/>
    <w:rsid w:val="00452541"/>
    <w:rsid w:val="00454E89"/>
    <w:rsid w:val="0045569B"/>
    <w:rsid w:val="004618BF"/>
    <w:rsid w:val="0046328A"/>
    <w:rsid w:val="004678D5"/>
    <w:rsid w:val="004713AD"/>
    <w:rsid w:val="0047316D"/>
    <w:rsid w:val="00480DC4"/>
    <w:rsid w:val="00490943"/>
    <w:rsid w:val="004A5810"/>
    <w:rsid w:val="004B4F5F"/>
    <w:rsid w:val="004B676D"/>
    <w:rsid w:val="004C17C9"/>
    <w:rsid w:val="004C2995"/>
    <w:rsid w:val="004C29EA"/>
    <w:rsid w:val="004D04CE"/>
    <w:rsid w:val="004D23D3"/>
    <w:rsid w:val="004D5A44"/>
    <w:rsid w:val="004D72FC"/>
    <w:rsid w:val="00500860"/>
    <w:rsid w:val="00502BE6"/>
    <w:rsid w:val="00504DF3"/>
    <w:rsid w:val="0051156E"/>
    <w:rsid w:val="00512804"/>
    <w:rsid w:val="0052197D"/>
    <w:rsid w:val="005219A2"/>
    <w:rsid w:val="00530484"/>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B7D98"/>
    <w:rsid w:val="005D1142"/>
    <w:rsid w:val="005D2146"/>
    <w:rsid w:val="005D79D9"/>
    <w:rsid w:val="005E2533"/>
    <w:rsid w:val="005F731A"/>
    <w:rsid w:val="00600E67"/>
    <w:rsid w:val="00603345"/>
    <w:rsid w:val="00604CA9"/>
    <w:rsid w:val="006105D4"/>
    <w:rsid w:val="00610DB3"/>
    <w:rsid w:val="006163BE"/>
    <w:rsid w:val="00624A1A"/>
    <w:rsid w:val="00635944"/>
    <w:rsid w:val="006548D9"/>
    <w:rsid w:val="00663A69"/>
    <w:rsid w:val="00664976"/>
    <w:rsid w:val="006726CE"/>
    <w:rsid w:val="0068370F"/>
    <w:rsid w:val="006869A0"/>
    <w:rsid w:val="00697840"/>
    <w:rsid w:val="006A16CD"/>
    <w:rsid w:val="006A3707"/>
    <w:rsid w:val="006A3883"/>
    <w:rsid w:val="006B2962"/>
    <w:rsid w:val="006B62CB"/>
    <w:rsid w:val="006C60AE"/>
    <w:rsid w:val="006D46C5"/>
    <w:rsid w:val="006D4C76"/>
    <w:rsid w:val="006E5DBA"/>
    <w:rsid w:val="00713FD5"/>
    <w:rsid w:val="00720FA9"/>
    <w:rsid w:val="0073059B"/>
    <w:rsid w:val="0073615D"/>
    <w:rsid w:val="00747E44"/>
    <w:rsid w:val="00752CFC"/>
    <w:rsid w:val="00765598"/>
    <w:rsid w:val="00767876"/>
    <w:rsid w:val="00770A08"/>
    <w:rsid w:val="00770E14"/>
    <w:rsid w:val="00785B38"/>
    <w:rsid w:val="00794CD1"/>
    <w:rsid w:val="007A0802"/>
    <w:rsid w:val="007A156C"/>
    <w:rsid w:val="007A690E"/>
    <w:rsid w:val="007A7C25"/>
    <w:rsid w:val="007B058D"/>
    <w:rsid w:val="007B65A3"/>
    <w:rsid w:val="007C0DFC"/>
    <w:rsid w:val="007C3795"/>
    <w:rsid w:val="007D1A62"/>
    <w:rsid w:val="007D285F"/>
    <w:rsid w:val="007E5DD2"/>
    <w:rsid w:val="007F2E08"/>
    <w:rsid w:val="0080710D"/>
    <w:rsid w:val="0081743F"/>
    <w:rsid w:val="008506C3"/>
    <w:rsid w:val="00851F75"/>
    <w:rsid w:val="0085446E"/>
    <w:rsid w:val="00857489"/>
    <w:rsid w:val="00864C76"/>
    <w:rsid w:val="008659D9"/>
    <w:rsid w:val="008731B2"/>
    <w:rsid w:val="008830FA"/>
    <w:rsid w:val="00896675"/>
    <w:rsid w:val="0089780B"/>
    <w:rsid w:val="008A6076"/>
    <w:rsid w:val="008B1D59"/>
    <w:rsid w:val="008B43C2"/>
    <w:rsid w:val="008B600E"/>
    <w:rsid w:val="008C2A76"/>
    <w:rsid w:val="008C7798"/>
    <w:rsid w:val="008D4D00"/>
    <w:rsid w:val="008E11B7"/>
    <w:rsid w:val="008E16F8"/>
    <w:rsid w:val="008F097B"/>
    <w:rsid w:val="008F3E97"/>
    <w:rsid w:val="009004A3"/>
    <w:rsid w:val="00900AB5"/>
    <w:rsid w:val="00910F1E"/>
    <w:rsid w:val="00912DF1"/>
    <w:rsid w:val="00915B84"/>
    <w:rsid w:val="00920A0F"/>
    <w:rsid w:val="00926A3D"/>
    <w:rsid w:val="009352E6"/>
    <w:rsid w:val="00956A72"/>
    <w:rsid w:val="00960353"/>
    <w:rsid w:val="00964464"/>
    <w:rsid w:val="00967E0A"/>
    <w:rsid w:val="00974771"/>
    <w:rsid w:val="0097585B"/>
    <w:rsid w:val="009829AB"/>
    <w:rsid w:val="00991D36"/>
    <w:rsid w:val="00993A8D"/>
    <w:rsid w:val="009969A5"/>
    <w:rsid w:val="009A7140"/>
    <w:rsid w:val="009A7EBC"/>
    <w:rsid w:val="009B072D"/>
    <w:rsid w:val="009B3F2F"/>
    <w:rsid w:val="009B400C"/>
    <w:rsid w:val="009B63D1"/>
    <w:rsid w:val="009B7008"/>
    <w:rsid w:val="009C35AD"/>
    <w:rsid w:val="009C36ED"/>
    <w:rsid w:val="009C3F7C"/>
    <w:rsid w:val="009C708A"/>
    <w:rsid w:val="009D201F"/>
    <w:rsid w:val="009D4D64"/>
    <w:rsid w:val="009E1BB2"/>
    <w:rsid w:val="009E664D"/>
    <w:rsid w:val="009E6D6E"/>
    <w:rsid w:val="009F195B"/>
    <w:rsid w:val="009F2229"/>
    <w:rsid w:val="009F6B4A"/>
    <w:rsid w:val="00A00F10"/>
    <w:rsid w:val="00A077DA"/>
    <w:rsid w:val="00A14593"/>
    <w:rsid w:val="00A22D0F"/>
    <w:rsid w:val="00A42118"/>
    <w:rsid w:val="00A54923"/>
    <w:rsid w:val="00A56D82"/>
    <w:rsid w:val="00A72ABF"/>
    <w:rsid w:val="00A74961"/>
    <w:rsid w:val="00A75F72"/>
    <w:rsid w:val="00A83EE7"/>
    <w:rsid w:val="00AA787B"/>
    <w:rsid w:val="00AB34EF"/>
    <w:rsid w:val="00AC3661"/>
    <w:rsid w:val="00AC5091"/>
    <w:rsid w:val="00AC69B6"/>
    <w:rsid w:val="00AD2AB3"/>
    <w:rsid w:val="00AD5CAC"/>
    <w:rsid w:val="00AE00C3"/>
    <w:rsid w:val="00AE22AC"/>
    <w:rsid w:val="00AE76CF"/>
    <w:rsid w:val="00B123D1"/>
    <w:rsid w:val="00B13E84"/>
    <w:rsid w:val="00B31570"/>
    <w:rsid w:val="00B318CA"/>
    <w:rsid w:val="00B3422B"/>
    <w:rsid w:val="00B36F06"/>
    <w:rsid w:val="00B43DEC"/>
    <w:rsid w:val="00B4551F"/>
    <w:rsid w:val="00B46168"/>
    <w:rsid w:val="00B520A8"/>
    <w:rsid w:val="00B73A51"/>
    <w:rsid w:val="00B8294D"/>
    <w:rsid w:val="00B83C2D"/>
    <w:rsid w:val="00B85258"/>
    <w:rsid w:val="00BA1A52"/>
    <w:rsid w:val="00BB10F1"/>
    <w:rsid w:val="00BB53FB"/>
    <w:rsid w:val="00BB66A0"/>
    <w:rsid w:val="00BC0897"/>
    <w:rsid w:val="00BC1BC6"/>
    <w:rsid w:val="00BD1027"/>
    <w:rsid w:val="00BE12CE"/>
    <w:rsid w:val="00BE3C71"/>
    <w:rsid w:val="00BE6DEE"/>
    <w:rsid w:val="00BE7ECF"/>
    <w:rsid w:val="00BF7653"/>
    <w:rsid w:val="00C02256"/>
    <w:rsid w:val="00C15FAE"/>
    <w:rsid w:val="00C25CB5"/>
    <w:rsid w:val="00C27597"/>
    <w:rsid w:val="00C3309F"/>
    <w:rsid w:val="00C36B14"/>
    <w:rsid w:val="00C46B64"/>
    <w:rsid w:val="00C60EE6"/>
    <w:rsid w:val="00C62C9D"/>
    <w:rsid w:val="00C63E62"/>
    <w:rsid w:val="00C723A1"/>
    <w:rsid w:val="00C73218"/>
    <w:rsid w:val="00C753BC"/>
    <w:rsid w:val="00C77929"/>
    <w:rsid w:val="00C92858"/>
    <w:rsid w:val="00C942D5"/>
    <w:rsid w:val="00C94395"/>
    <w:rsid w:val="00C9508F"/>
    <w:rsid w:val="00C96CE8"/>
    <w:rsid w:val="00CA2C57"/>
    <w:rsid w:val="00CB465C"/>
    <w:rsid w:val="00CB63A2"/>
    <w:rsid w:val="00CC60E5"/>
    <w:rsid w:val="00CD0E9F"/>
    <w:rsid w:val="00CD35BD"/>
    <w:rsid w:val="00CE1002"/>
    <w:rsid w:val="00CF1311"/>
    <w:rsid w:val="00CF339B"/>
    <w:rsid w:val="00CF49CD"/>
    <w:rsid w:val="00D00CC7"/>
    <w:rsid w:val="00D072A2"/>
    <w:rsid w:val="00D12A2C"/>
    <w:rsid w:val="00D26FA4"/>
    <w:rsid w:val="00D31166"/>
    <w:rsid w:val="00D34A19"/>
    <w:rsid w:val="00D4155F"/>
    <w:rsid w:val="00D4185D"/>
    <w:rsid w:val="00D43B31"/>
    <w:rsid w:val="00D45882"/>
    <w:rsid w:val="00D60F83"/>
    <w:rsid w:val="00D70BF4"/>
    <w:rsid w:val="00D74A33"/>
    <w:rsid w:val="00D74A8C"/>
    <w:rsid w:val="00D83BDE"/>
    <w:rsid w:val="00D86CD8"/>
    <w:rsid w:val="00DA7548"/>
    <w:rsid w:val="00DB0405"/>
    <w:rsid w:val="00DB7B45"/>
    <w:rsid w:val="00DE7CA6"/>
    <w:rsid w:val="00DF0787"/>
    <w:rsid w:val="00DF6E5E"/>
    <w:rsid w:val="00E0755F"/>
    <w:rsid w:val="00E14656"/>
    <w:rsid w:val="00E23ADF"/>
    <w:rsid w:val="00E25A17"/>
    <w:rsid w:val="00E330C5"/>
    <w:rsid w:val="00E35E6C"/>
    <w:rsid w:val="00E35EBC"/>
    <w:rsid w:val="00E400E1"/>
    <w:rsid w:val="00E43447"/>
    <w:rsid w:val="00E47429"/>
    <w:rsid w:val="00E54064"/>
    <w:rsid w:val="00E62DB9"/>
    <w:rsid w:val="00E728D1"/>
    <w:rsid w:val="00E87051"/>
    <w:rsid w:val="00EA0C19"/>
    <w:rsid w:val="00EA1837"/>
    <w:rsid w:val="00EA78E7"/>
    <w:rsid w:val="00EA7CF8"/>
    <w:rsid w:val="00EB4427"/>
    <w:rsid w:val="00EC4C5D"/>
    <w:rsid w:val="00ED2639"/>
    <w:rsid w:val="00EE015E"/>
    <w:rsid w:val="00EE723E"/>
    <w:rsid w:val="00EF693B"/>
    <w:rsid w:val="00F00DEB"/>
    <w:rsid w:val="00F00FE1"/>
    <w:rsid w:val="00F01CF4"/>
    <w:rsid w:val="00F02EC8"/>
    <w:rsid w:val="00F0644C"/>
    <w:rsid w:val="00F10521"/>
    <w:rsid w:val="00F21B8A"/>
    <w:rsid w:val="00F22E2E"/>
    <w:rsid w:val="00F307E1"/>
    <w:rsid w:val="00F3613B"/>
    <w:rsid w:val="00F4202C"/>
    <w:rsid w:val="00F422B9"/>
    <w:rsid w:val="00F44038"/>
    <w:rsid w:val="00F60858"/>
    <w:rsid w:val="00F660DA"/>
    <w:rsid w:val="00F778DB"/>
    <w:rsid w:val="00F828BF"/>
    <w:rsid w:val="00F8409B"/>
    <w:rsid w:val="00F91C92"/>
    <w:rsid w:val="00F9427B"/>
    <w:rsid w:val="00F9520F"/>
    <w:rsid w:val="00FA23E1"/>
    <w:rsid w:val="00FA388D"/>
    <w:rsid w:val="00FA540B"/>
    <w:rsid w:val="00FB7BDD"/>
    <w:rsid w:val="00FC2DCA"/>
    <w:rsid w:val="00FC4B2F"/>
    <w:rsid w:val="00FC796B"/>
    <w:rsid w:val="00FF16F6"/>
    <w:rsid w:val="00FF23E2"/>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69D"/>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 w:type="paragraph" w:styleId="Caption">
    <w:name w:val="caption"/>
    <w:basedOn w:val="Normal"/>
    <w:next w:val="Normal"/>
    <w:uiPriority w:val="35"/>
    <w:unhideWhenUsed/>
    <w:qFormat/>
    <w:rsid w:val="008731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31B2"/>
    <w:pPr>
      <w:spacing w:after="0"/>
    </w:pPr>
  </w:style>
  <w:style w:type="paragraph" w:styleId="Bibliography">
    <w:name w:val="Bibliography"/>
    <w:basedOn w:val="Normal"/>
    <w:next w:val="Normal"/>
    <w:uiPriority w:val="37"/>
    <w:unhideWhenUsed/>
    <w:rsid w:val="008731B2"/>
  </w:style>
  <w:style w:type="paragraph" w:styleId="Revision">
    <w:name w:val="Revision"/>
    <w:hidden/>
    <w:uiPriority w:val="99"/>
    <w:semiHidden/>
    <w:rsid w:val="00E72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34">
      <w:bodyDiv w:val="1"/>
      <w:marLeft w:val="0"/>
      <w:marRight w:val="0"/>
      <w:marTop w:val="0"/>
      <w:marBottom w:val="0"/>
      <w:divBdr>
        <w:top w:val="none" w:sz="0" w:space="0" w:color="auto"/>
        <w:left w:val="none" w:sz="0" w:space="0" w:color="auto"/>
        <w:bottom w:val="none" w:sz="0" w:space="0" w:color="auto"/>
        <w:right w:val="none" w:sz="0" w:space="0" w:color="auto"/>
      </w:divBdr>
    </w:div>
    <w:div w:id="3945061">
      <w:bodyDiv w:val="1"/>
      <w:marLeft w:val="0"/>
      <w:marRight w:val="0"/>
      <w:marTop w:val="0"/>
      <w:marBottom w:val="0"/>
      <w:divBdr>
        <w:top w:val="none" w:sz="0" w:space="0" w:color="auto"/>
        <w:left w:val="none" w:sz="0" w:space="0" w:color="auto"/>
        <w:bottom w:val="none" w:sz="0" w:space="0" w:color="auto"/>
        <w:right w:val="none" w:sz="0" w:space="0" w:color="auto"/>
      </w:divBdr>
    </w:div>
    <w:div w:id="8914065">
      <w:bodyDiv w:val="1"/>
      <w:marLeft w:val="0"/>
      <w:marRight w:val="0"/>
      <w:marTop w:val="0"/>
      <w:marBottom w:val="0"/>
      <w:divBdr>
        <w:top w:val="none" w:sz="0" w:space="0" w:color="auto"/>
        <w:left w:val="none" w:sz="0" w:space="0" w:color="auto"/>
        <w:bottom w:val="none" w:sz="0" w:space="0" w:color="auto"/>
        <w:right w:val="none" w:sz="0" w:space="0" w:color="auto"/>
      </w:divBdr>
    </w:div>
    <w:div w:id="12389152">
      <w:bodyDiv w:val="1"/>
      <w:marLeft w:val="0"/>
      <w:marRight w:val="0"/>
      <w:marTop w:val="0"/>
      <w:marBottom w:val="0"/>
      <w:divBdr>
        <w:top w:val="none" w:sz="0" w:space="0" w:color="auto"/>
        <w:left w:val="none" w:sz="0" w:space="0" w:color="auto"/>
        <w:bottom w:val="none" w:sz="0" w:space="0" w:color="auto"/>
        <w:right w:val="none" w:sz="0" w:space="0" w:color="auto"/>
      </w:divBdr>
    </w:div>
    <w:div w:id="13500755">
      <w:bodyDiv w:val="1"/>
      <w:marLeft w:val="0"/>
      <w:marRight w:val="0"/>
      <w:marTop w:val="0"/>
      <w:marBottom w:val="0"/>
      <w:divBdr>
        <w:top w:val="none" w:sz="0" w:space="0" w:color="auto"/>
        <w:left w:val="none" w:sz="0" w:space="0" w:color="auto"/>
        <w:bottom w:val="none" w:sz="0" w:space="0" w:color="auto"/>
        <w:right w:val="none" w:sz="0" w:space="0" w:color="auto"/>
      </w:divBdr>
    </w:div>
    <w:div w:id="14428646">
      <w:bodyDiv w:val="1"/>
      <w:marLeft w:val="0"/>
      <w:marRight w:val="0"/>
      <w:marTop w:val="0"/>
      <w:marBottom w:val="0"/>
      <w:divBdr>
        <w:top w:val="none" w:sz="0" w:space="0" w:color="auto"/>
        <w:left w:val="none" w:sz="0" w:space="0" w:color="auto"/>
        <w:bottom w:val="none" w:sz="0" w:space="0" w:color="auto"/>
        <w:right w:val="none" w:sz="0" w:space="0" w:color="auto"/>
      </w:divBdr>
    </w:div>
    <w:div w:id="14549579">
      <w:bodyDiv w:val="1"/>
      <w:marLeft w:val="0"/>
      <w:marRight w:val="0"/>
      <w:marTop w:val="0"/>
      <w:marBottom w:val="0"/>
      <w:divBdr>
        <w:top w:val="none" w:sz="0" w:space="0" w:color="auto"/>
        <w:left w:val="none" w:sz="0" w:space="0" w:color="auto"/>
        <w:bottom w:val="none" w:sz="0" w:space="0" w:color="auto"/>
        <w:right w:val="none" w:sz="0" w:space="0" w:color="auto"/>
      </w:divBdr>
    </w:div>
    <w:div w:id="20712440">
      <w:bodyDiv w:val="1"/>
      <w:marLeft w:val="0"/>
      <w:marRight w:val="0"/>
      <w:marTop w:val="0"/>
      <w:marBottom w:val="0"/>
      <w:divBdr>
        <w:top w:val="none" w:sz="0" w:space="0" w:color="auto"/>
        <w:left w:val="none" w:sz="0" w:space="0" w:color="auto"/>
        <w:bottom w:val="none" w:sz="0" w:space="0" w:color="auto"/>
        <w:right w:val="none" w:sz="0" w:space="0" w:color="auto"/>
      </w:divBdr>
    </w:div>
    <w:div w:id="44524963">
      <w:bodyDiv w:val="1"/>
      <w:marLeft w:val="0"/>
      <w:marRight w:val="0"/>
      <w:marTop w:val="0"/>
      <w:marBottom w:val="0"/>
      <w:divBdr>
        <w:top w:val="none" w:sz="0" w:space="0" w:color="auto"/>
        <w:left w:val="none" w:sz="0" w:space="0" w:color="auto"/>
        <w:bottom w:val="none" w:sz="0" w:space="0" w:color="auto"/>
        <w:right w:val="none" w:sz="0" w:space="0" w:color="auto"/>
      </w:divBdr>
    </w:div>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86509696">
      <w:bodyDiv w:val="1"/>
      <w:marLeft w:val="0"/>
      <w:marRight w:val="0"/>
      <w:marTop w:val="0"/>
      <w:marBottom w:val="0"/>
      <w:divBdr>
        <w:top w:val="none" w:sz="0" w:space="0" w:color="auto"/>
        <w:left w:val="none" w:sz="0" w:space="0" w:color="auto"/>
        <w:bottom w:val="none" w:sz="0" w:space="0" w:color="auto"/>
        <w:right w:val="none" w:sz="0" w:space="0" w:color="auto"/>
      </w:divBdr>
    </w:div>
    <w:div w:id="93475268">
      <w:bodyDiv w:val="1"/>
      <w:marLeft w:val="0"/>
      <w:marRight w:val="0"/>
      <w:marTop w:val="0"/>
      <w:marBottom w:val="0"/>
      <w:divBdr>
        <w:top w:val="none" w:sz="0" w:space="0" w:color="auto"/>
        <w:left w:val="none" w:sz="0" w:space="0" w:color="auto"/>
        <w:bottom w:val="none" w:sz="0" w:space="0" w:color="auto"/>
        <w:right w:val="none" w:sz="0" w:space="0" w:color="auto"/>
      </w:divBdr>
    </w:div>
    <w:div w:id="109707569">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17725234">
      <w:bodyDiv w:val="1"/>
      <w:marLeft w:val="0"/>
      <w:marRight w:val="0"/>
      <w:marTop w:val="0"/>
      <w:marBottom w:val="0"/>
      <w:divBdr>
        <w:top w:val="none" w:sz="0" w:space="0" w:color="auto"/>
        <w:left w:val="none" w:sz="0" w:space="0" w:color="auto"/>
        <w:bottom w:val="none" w:sz="0" w:space="0" w:color="auto"/>
        <w:right w:val="none" w:sz="0" w:space="0" w:color="auto"/>
      </w:divBdr>
    </w:div>
    <w:div w:id="128548557">
      <w:bodyDiv w:val="1"/>
      <w:marLeft w:val="0"/>
      <w:marRight w:val="0"/>
      <w:marTop w:val="0"/>
      <w:marBottom w:val="0"/>
      <w:divBdr>
        <w:top w:val="none" w:sz="0" w:space="0" w:color="auto"/>
        <w:left w:val="none" w:sz="0" w:space="0" w:color="auto"/>
        <w:bottom w:val="none" w:sz="0" w:space="0" w:color="auto"/>
        <w:right w:val="none" w:sz="0" w:space="0" w:color="auto"/>
      </w:divBdr>
    </w:div>
    <w:div w:id="132137762">
      <w:bodyDiv w:val="1"/>
      <w:marLeft w:val="0"/>
      <w:marRight w:val="0"/>
      <w:marTop w:val="0"/>
      <w:marBottom w:val="0"/>
      <w:divBdr>
        <w:top w:val="none" w:sz="0" w:space="0" w:color="auto"/>
        <w:left w:val="none" w:sz="0" w:space="0" w:color="auto"/>
        <w:bottom w:val="none" w:sz="0" w:space="0" w:color="auto"/>
        <w:right w:val="none" w:sz="0" w:space="0" w:color="auto"/>
      </w:divBdr>
    </w:div>
    <w:div w:id="13572561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144586070">
      <w:bodyDiv w:val="1"/>
      <w:marLeft w:val="0"/>
      <w:marRight w:val="0"/>
      <w:marTop w:val="0"/>
      <w:marBottom w:val="0"/>
      <w:divBdr>
        <w:top w:val="none" w:sz="0" w:space="0" w:color="auto"/>
        <w:left w:val="none" w:sz="0" w:space="0" w:color="auto"/>
        <w:bottom w:val="none" w:sz="0" w:space="0" w:color="auto"/>
        <w:right w:val="none" w:sz="0" w:space="0" w:color="auto"/>
      </w:divBdr>
    </w:div>
    <w:div w:id="146095567">
      <w:bodyDiv w:val="1"/>
      <w:marLeft w:val="0"/>
      <w:marRight w:val="0"/>
      <w:marTop w:val="0"/>
      <w:marBottom w:val="0"/>
      <w:divBdr>
        <w:top w:val="none" w:sz="0" w:space="0" w:color="auto"/>
        <w:left w:val="none" w:sz="0" w:space="0" w:color="auto"/>
        <w:bottom w:val="none" w:sz="0" w:space="0" w:color="auto"/>
        <w:right w:val="none" w:sz="0" w:space="0" w:color="auto"/>
      </w:divBdr>
    </w:div>
    <w:div w:id="146896546">
      <w:bodyDiv w:val="1"/>
      <w:marLeft w:val="0"/>
      <w:marRight w:val="0"/>
      <w:marTop w:val="0"/>
      <w:marBottom w:val="0"/>
      <w:divBdr>
        <w:top w:val="none" w:sz="0" w:space="0" w:color="auto"/>
        <w:left w:val="none" w:sz="0" w:space="0" w:color="auto"/>
        <w:bottom w:val="none" w:sz="0" w:space="0" w:color="auto"/>
        <w:right w:val="none" w:sz="0" w:space="0" w:color="auto"/>
      </w:divBdr>
    </w:div>
    <w:div w:id="150028843">
      <w:bodyDiv w:val="1"/>
      <w:marLeft w:val="0"/>
      <w:marRight w:val="0"/>
      <w:marTop w:val="0"/>
      <w:marBottom w:val="0"/>
      <w:divBdr>
        <w:top w:val="none" w:sz="0" w:space="0" w:color="auto"/>
        <w:left w:val="none" w:sz="0" w:space="0" w:color="auto"/>
        <w:bottom w:val="none" w:sz="0" w:space="0" w:color="auto"/>
        <w:right w:val="none" w:sz="0" w:space="0" w:color="auto"/>
      </w:divBdr>
    </w:div>
    <w:div w:id="158081043">
      <w:bodyDiv w:val="1"/>
      <w:marLeft w:val="0"/>
      <w:marRight w:val="0"/>
      <w:marTop w:val="0"/>
      <w:marBottom w:val="0"/>
      <w:divBdr>
        <w:top w:val="none" w:sz="0" w:space="0" w:color="auto"/>
        <w:left w:val="none" w:sz="0" w:space="0" w:color="auto"/>
        <w:bottom w:val="none" w:sz="0" w:space="0" w:color="auto"/>
        <w:right w:val="none" w:sz="0" w:space="0" w:color="auto"/>
      </w:divBdr>
    </w:div>
    <w:div w:id="200482700">
      <w:bodyDiv w:val="1"/>
      <w:marLeft w:val="0"/>
      <w:marRight w:val="0"/>
      <w:marTop w:val="0"/>
      <w:marBottom w:val="0"/>
      <w:divBdr>
        <w:top w:val="none" w:sz="0" w:space="0" w:color="auto"/>
        <w:left w:val="none" w:sz="0" w:space="0" w:color="auto"/>
        <w:bottom w:val="none" w:sz="0" w:space="0" w:color="auto"/>
        <w:right w:val="none" w:sz="0" w:space="0" w:color="auto"/>
      </w:divBdr>
    </w:div>
    <w:div w:id="207256348">
      <w:bodyDiv w:val="1"/>
      <w:marLeft w:val="0"/>
      <w:marRight w:val="0"/>
      <w:marTop w:val="0"/>
      <w:marBottom w:val="0"/>
      <w:divBdr>
        <w:top w:val="none" w:sz="0" w:space="0" w:color="auto"/>
        <w:left w:val="none" w:sz="0" w:space="0" w:color="auto"/>
        <w:bottom w:val="none" w:sz="0" w:space="0" w:color="auto"/>
        <w:right w:val="none" w:sz="0" w:space="0" w:color="auto"/>
      </w:divBdr>
    </w:div>
    <w:div w:id="21747725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35168530">
      <w:bodyDiv w:val="1"/>
      <w:marLeft w:val="0"/>
      <w:marRight w:val="0"/>
      <w:marTop w:val="0"/>
      <w:marBottom w:val="0"/>
      <w:divBdr>
        <w:top w:val="none" w:sz="0" w:space="0" w:color="auto"/>
        <w:left w:val="none" w:sz="0" w:space="0" w:color="auto"/>
        <w:bottom w:val="none" w:sz="0" w:space="0" w:color="auto"/>
        <w:right w:val="none" w:sz="0" w:space="0" w:color="auto"/>
      </w:divBdr>
    </w:div>
    <w:div w:id="239482787">
      <w:bodyDiv w:val="1"/>
      <w:marLeft w:val="0"/>
      <w:marRight w:val="0"/>
      <w:marTop w:val="0"/>
      <w:marBottom w:val="0"/>
      <w:divBdr>
        <w:top w:val="none" w:sz="0" w:space="0" w:color="auto"/>
        <w:left w:val="none" w:sz="0" w:space="0" w:color="auto"/>
        <w:bottom w:val="none" w:sz="0" w:space="0" w:color="auto"/>
        <w:right w:val="none" w:sz="0" w:space="0" w:color="auto"/>
      </w:divBdr>
    </w:div>
    <w:div w:id="247888787">
      <w:bodyDiv w:val="1"/>
      <w:marLeft w:val="0"/>
      <w:marRight w:val="0"/>
      <w:marTop w:val="0"/>
      <w:marBottom w:val="0"/>
      <w:divBdr>
        <w:top w:val="none" w:sz="0" w:space="0" w:color="auto"/>
        <w:left w:val="none" w:sz="0" w:space="0" w:color="auto"/>
        <w:bottom w:val="none" w:sz="0" w:space="0" w:color="auto"/>
        <w:right w:val="none" w:sz="0" w:space="0" w:color="auto"/>
      </w:divBdr>
    </w:div>
    <w:div w:id="256983897">
      <w:bodyDiv w:val="1"/>
      <w:marLeft w:val="0"/>
      <w:marRight w:val="0"/>
      <w:marTop w:val="0"/>
      <w:marBottom w:val="0"/>
      <w:divBdr>
        <w:top w:val="none" w:sz="0" w:space="0" w:color="auto"/>
        <w:left w:val="none" w:sz="0" w:space="0" w:color="auto"/>
        <w:bottom w:val="none" w:sz="0" w:space="0" w:color="auto"/>
        <w:right w:val="none" w:sz="0" w:space="0" w:color="auto"/>
      </w:divBdr>
    </w:div>
    <w:div w:id="257177146">
      <w:bodyDiv w:val="1"/>
      <w:marLeft w:val="0"/>
      <w:marRight w:val="0"/>
      <w:marTop w:val="0"/>
      <w:marBottom w:val="0"/>
      <w:divBdr>
        <w:top w:val="none" w:sz="0" w:space="0" w:color="auto"/>
        <w:left w:val="none" w:sz="0" w:space="0" w:color="auto"/>
        <w:bottom w:val="none" w:sz="0" w:space="0" w:color="auto"/>
        <w:right w:val="none" w:sz="0" w:space="0" w:color="auto"/>
      </w:divBdr>
    </w:div>
    <w:div w:id="272980482">
      <w:bodyDiv w:val="1"/>
      <w:marLeft w:val="0"/>
      <w:marRight w:val="0"/>
      <w:marTop w:val="0"/>
      <w:marBottom w:val="0"/>
      <w:divBdr>
        <w:top w:val="none" w:sz="0" w:space="0" w:color="auto"/>
        <w:left w:val="none" w:sz="0" w:space="0" w:color="auto"/>
        <w:bottom w:val="none" w:sz="0" w:space="0" w:color="auto"/>
        <w:right w:val="none" w:sz="0" w:space="0" w:color="auto"/>
      </w:divBdr>
    </w:div>
    <w:div w:id="274411293">
      <w:bodyDiv w:val="1"/>
      <w:marLeft w:val="0"/>
      <w:marRight w:val="0"/>
      <w:marTop w:val="0"/>
      <w:marBottom w:val="0"/>
      <w:divBdr>
        <w:top w:val="none" w:sz="0" w:space="0" w:color="auto"/>
        <w:left w:val="none" w:sz="0" w:space="0" w:color="auto"/>
        <w:bottom w:val="none" w:sz="0" w:space="0" w:color="auto"/>
        <w:right w:val="none" w:sz="0" w:space="0" w:color="auto"/>
      </w:divBdr>
    </w:div>
    <w:div w:id="275602850">
      <w:bodyDiv w:val="1"/>
      <w:marLeft w:val="0"/>
      <w:marRight w:val="0"/>
      <w:marTop w:val="0"/>
      <w:marBottom w:val="0"/>
      <w:divBdr>
        <w:top w:val="none" w:sz="0" w:space="0" w:color="auto"/>
        <w:left w:val="none" w:sz="0" w:space="0" w:color="auto"/>
        <w:bottom w:val="none" w:sz="0" w:space="0" w:color="auto"/>
        <w:right w:val="none" w:sz="0" w:space="0" w:color="auto"/>
      </w:divBdr>
    </w:div>
    <w:div w:id="282661597">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297801772">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04894570">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333649907">
      <w:bodyDiv w:val="1"/>
      <w:marLeft w:val="0"/>
      <w:marRight w:val="0"/>
      <w:marTop w:val="0"/>
      <w:marBottom w:val="0"/>
      <w:divBdr>
        <w:top w:val="none" w:sz="0" w:space="0" w:color="auto"/>
        <w:left w:val="none" w:sz="0" w:space="0" w:color="auto"/>
        <w:bottom w:val="none" w:sz="0" w:space="0" w:color="auto"/>
        <w:right w:val="none" w:sz="0" w:space="0" w:color="auto"/>
      </w:divBdr>
    </w:div>
    <w:div w:id="340472167">
      <w:bodyDiv w:val="1"/>
      <w:marLeft w:val="0"/>
      <w:marRight w:val="0"/>
      <w:marTop w:val="0"/>
      <w:marBottom w:val="0"/>
      <w:divBdr>
        <w:top w:val="none" w:sz="0" w:space="0" w:color="auto"/>
        <w:left w:val="none" w:sz="0" w:space="0" w:color="auto"/>
        <w:bottom w:val="none" w:sz="0" w:space="0" w:color="auto"/>
        <w:right w:val="none" w:sz="0" w:space="0" w:color="auto"/>
      </w:divBdr>
    </w:div>
    <w:div w:id="342170170">
      <w:bodyDiv w:val="1"/>
      <w:marLeft w:val="0"/>
      <w:marRight w:val="0"/>
      <w:marTop w:val="0"/>
      <w:marBottom w:val="0"/>
      <w:divBdr>
        <w:top w:val="none" w:sz="0" w:space="0" w:color="auto"/>
        <w:left w:val="none" w:sz="0" w:space="0" w:color="auto"/>
        <w:bottom w:val="none" w:sz="0" w:space="0" w:color="auto"/>
        <w:right w:val="none" w:sz="0" w:space="0" w:color="auto"/>
      </w:divBdr>
    </w:div>
    <w:div w:id="368918134">
      <w:bodyDiv w:val="1"/>
      <w:marLeft w:val="0"/>
      <w:marRight w:val="0"/>
      <w:marTop w:val="0"/>
      <w:marBottom w:val="0"/>
      <w:divBdr>
        <w:top w:val="none" w:sz="0" w:space="0" w:color="auto"/>
        <w:left w:val="none" w:sz="0" w:space="0" w:color="auto"/>
        <w:bottom w:val="none" w:sz="0" w:space="0" w:color="auto"/>
        <w:right w:val="none" w:sz="0" w:space="0" w:color="auto"/>
      </w:divBdr>
    </w:div>
    <w:div w:id="374818928">
      <w:bodyDiv w:val="1"/>
      <w:marLeft w:val="0"/>
      <w:marRight w:val="0"/>
      <w:marTop w:val="0"/>
      <w:marBottom w:val="0"/>
      <w:divBdr>
        <w:top w:val="none" w:sz="0" w:space="0" w:color="auto"/>
        <w:left w:val="none" w:sz="0" w:space="0" w:color="auto"/>
        <w:bottom w:val="none" w:sz="0" w:space="0" w:color="auto"/>
        <w:right w:val="none" w:sz="0" w:space="0" w:color="auto"/>
      </w:divBdr>
    </w:div>
    <w:div w:id="417290969">
      <w:bodyDiv w:val="1"/>
      <w:marLeft w:val="0"/>
      <w:marRight w:val="0"/>
      <w:marTop w:val="0"/>
      <w:marBottom w:val="0"/>
      <w:divBdr>
        <w:top w:val="none" w:sz="0" w:space="0" w:color="auto"/>
        <w:left w:val="none" w:sz="0" w:space="0" w:color="auto"/>
        <w:bottom w:val="none" w:sz="0" w:space="0" w:color="auto"/>
        <w:right w:val="none" w:sz="0" w:space="0" w:color="auto"/>
      </w:divBdr>
    </w:div>
    <w:div w:id="419954945">
      <w:bodyDiv w:val="1"/>
      <w:marLeft w:val="0"/>
      <w:marRight w:val="0"/>
      <w:marTop w:val="0"/>
      <w:marBottom w:val="0"/>
      <w:divBdr>
        <w:top w:val="none" w:sz="0" w:space="0" w:color="auto"/>
        <w:left w:val="none" w:sz="0" w:space="0" w:color="auto"/>
        <w:bottom w:val="none" w:sz="0" w:space="0" w:color="auto"/>
        <w:right w:val="none" w:sz="0" w:space="0" w:color="auto"/>
      </w:divBdr>
    </w:div>
    <w:div w:id="420227534">
      <w:bodyDiv w:val="1"/>
      <w:marLeft w:val="0"/>
      <w:marRight w:val="0"/>
      <w:marTop w:val="0"/>
      <w:marBottom w:val="0"/>
      <w:divBdr>
        <w:top w:val="none" w:sz="0" w:space="0" w:color="auto"/>
        <w:left w:val="none" w:sz="0" w:space="0" w:color="auto"/>
        <w:bottom w:val="none" w:sz="0" w:space="0" w:color="auto"/>
        <w:right w:val="none" w:sz="0" w:space="0" w:color="auto"/>
      </w:divBdr>
    </w:div>
    <w:div w:id="427894615">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479418955">
      <w:bodyDiv w:val="1"/>
      <w:marLeft w:val="0"/>
      <w:marRight w:val="0"/>
      <w:marTop w:val="0"/>
      <w:marBottom w:val="0"/>
      <w:divBdr>
        <w:top w:val="none" w:sz="0" w:space="0" w:color="auto"/>
        <w:left w:val="none" w:sz="0" w:space="0" w:color="auto"/>
        <w:bottom w:val="none" w:sz="0" w:space="0" w:color="auto"/>
        <w:right w:val="none" w:sz="0" w:space="0" w:color="auto"/>
      </w:divBdr>
    </w:div>
    <w:div w:id="480391296">
      <w:bodyDiv w:val="1"/>
      <w:marLeft w:val="0"/>
      <w:marRight w:val="0"/>
      <w:marTop w:val="0"/>
      <w:marBottom w:val="0"/>
      <w:divBdr>
        <w:top w:val="none" w:sz="0" w:space="0" w:color="auto"/>
        <w:left w:val="none" w:sz="0" w:space="0" w:color="auto"/>
        <w:bottom w:val="none" w:sz="0" w:space="0" w:color="auto"/>
        <w:right w:val="none" w:sz="0" w:space="0" w:color="auto"/>
      </w:divBdr>
    </w:div>
    <w:div w:id="490101263">
      <w:bodyDiv w:val="1"/>
      <w:marLeft w:val="0"/>
      <w:marRight w:val="0"/>
      <w:marTop w:val="0"/>
      <w:marBottom w:val="0"/>
      <w:divBdr>
        <w:top w:val="none" w:sz="0" w:space="0" w:color="auto"/>
        <w:left w:val="none" w:sz="0" w:space="0" w:color="auto"/>
        <w:bottom w:val="none" w:sz="0" w:space="0" w:color="auto"/>
        <w:right w:val="none" w:sz="0" w:space="0" w:color="auto"/>
      </w:divBdr>
    </w:div>
    <w:div w:id="493840221">
      <w:bodyDiv w:val="1"/>
      <w:marLeft w:val="0"/>
      <w:marRight w:val="0"/>
      <w:marTop w:val="0"/>
      <w:marBottom w:val="0"/>
      <w:divBdr>
        <w:top w:val="none" w:sz="0" w:space="0" w:color="auto"/>
        <w:left w:val="none" w:sz="0" w:space="0" w:color="auto"/>
        <w:bottom w:val="none" w:sz="0" w:space="0" w:color="auto"/>
        <w:right w:val="none" w:sz="0" w:space="0" w:color="auto"/>
      </w:divBdr>
    </w:div>
    <w:div w:id="509493776">
      <w:bodyDiv w:val="1"/>
      <w:marLeft w:val="0"/>
      <w:marRight w:val="0"/>
      <w:marTop w:val="0"/>
      <w:marBottom w:val="0"/>
      <w:divBdr>
        <w:top w:val="none" w:sz="0" w:space="0" w:color="auto"/>
        <w:left w:val="none" w:sz="0" w:space="0" w:color="auto"/>
        <w:bottom w:val="none" w:sz="0" w:space="0" w:color="auto"/>
        <w:right w:val="none" w:sz="0" w:space="0" w:color="auto"/>
      </w:divBdr>
    </w:div>
    <w:div w:id="513302334">
      <w:bodyDiv w:val="1"/>
      <w:marLeft w:val="0"/>
      <w:marRight w:val="0"/>
      <w:marTop w:val="0"/>
      <w:marBottom w:val="0"/>
      <w:divBdr>
        <w:top w:val="none" w:sz="0" w:space="0" w:color="auto"/>
        <w:left w:val="none" w:sz="0" w:space="0" w:color="auto"/>
        <w:bottom w:val="none" w:sz="0" w:space="0" w:color="auto"/>
        <w:right w:val="none" w:sz="0" w:space="0" w:color="auto"/>
      </w:divBdr>
    </w:div>
    <w:div w:id="520632276">
      <w:bodyDiv w:val="1"/>
      <w:marLeft w:val="0"/>
      <w:marRight w:val="0"/>
      <w:marTop w:val="0"/>
      <w:marBottom w:val="0"/>
      <w:divBdr>
        <w:top w:val="none" w:sz="0" w:space="0" w:color="auto"/>
        <w:left w:val="none" w:sz="0" w:space="0" w:color="auto"/>
        <w:bottom w:val="none" w:sz="0" w:space="0" w:color="auto"/>
        <w:right w:val="none" w:sz="0" w:space="0" w:color="auto"/>
      </w:divBdr>
    </w:div>
    <w:div w:id="523399779">
      <w:bodyDiv w:val="1"/>
      <w:marLeft w:val="0"/>
      <w:marRight w:val="0"/>
      <w:marTop w:val="0"/>
      <w:marBottom w:val="0"/>
      <w:divBdr>
        <w:top w:val="none" w:sz="0" w:space="0" w:color="auto"/>
        <w:left w:val="none" w:sz="0" w:space="0" w:color="auto"/>
        <w:bottom w:val="none" w:sz="0" w:space="0" w:color="auto"/>
        <w:right w:val="none" w:sz="0" w:space="0" w:color="auto"/>
      </w:divBdr>
    </w:div>
    <w:div w:id="529145255">
      <w:bodyDiv w:val="1"/>
      <w:marLeft w:val="0"/>
      <w:marRight w:val="0"/>
      <w:marTop w:val="0"/>
      <w:marBottom w:val="0"/>
      <w:divBdr>
        <w:top w:val="none" w:sz="0" w:space="0" w:color="auto"/>
        <w:left w:val="none" w:sz="0" w:space="0" w:color="auto"/>
        <w:bottom w:val="none" w:sz="0" w:space="0" w:color="auto"/>
        <w:right w:val="none" w:sz="0" w:space="0" w:color="auto"/>
      </w:divBdr>
    </w:div>
    <w:div w:id="53018954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32766695">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547500231">
      <w:bodyDiv w:val="1"/>
      <w:marLeft w:val="0"/>
      <w:marRight w:val="0"/>
      <w:marTop w:val="0"/>
      <w:marBottom w:val="0"/>
      <w:divBdr>
        <w:top w:val="none" w:sz="0" w:space="0" w:color="auto"/>
        <w:left w:val="none" w:sz="0" w:space="0" w:color="auto"/>
        <w:bottom w:val="none" w:sz="0" w:space="0" w:color="auto"/>
        <w:right w:val="none" w:sz="0" w:space="0" w:color="auto"/>
      </w:divBdr>
    </w:div>
    <w:div w:id="570388318">
      <w:bodyDiv w:val="1"/>
      <w:marLeft w:val="0"/>
      <w:marRight w:val="0"/>
      <w:marTop w:val="0"/>
      <w:marBottom w:val="0"/>
      <w:divBdr>
        <w:top w:val="none" w:sz="0" w:space="0" w:color="auto"/>
        <w:left w:val="none" w:sz="0" w:space="0" w:color="auto"/>
        <w:bottom w:val="none" w:sz="0" w:space="0" w:color="auto"/>
        <w:right w:val="none" w:sz="0" w:space="0" w:color="auto"/>
      </w:divBdr>
    </w:div>
    <w:div w:id="583497118">
      <w:bodyDiv w:val="1"/>
      <w:marLeft w:val="0"/>
      <w:marRight w:val="0"/>
      <w:marTop w:val="0"/>
      <w:marBottom w:val="0"/>
      <w:divBdr>
        <w:top w:val="none" w:sz="0" w:space="0" w:color="auto"/>
        <w:left w:val="none" w:sz="0" w:space="0" w:color="auto"/>
        <w:bottom w:val="none" w:sz="0" w:space="0" w:color="auto"/>
        <w:right w:val="none" w:sz="0" w:space="0" w:color="auto"/>
      </w:divBdr>
    </w:div>
    <w:div w:id="601501216">
      <w:bodyDiv w:val="1"/>
      <w:marLeft w:val="0"/>
      <w:marRight w:val="0"/>
      <w:marTop w:val="0"/>
      <w:marBottom w:val="0"/>
      <w:divBdr>
        <w:top w:val="none" w:sz="0" w:space="0" w:color="auto"/>
        <w:left w:val="none" w:sz="0" w:space="0" w:color="auto"/>
        <w:bottom w:val="none" w:sz="0" w:space="0" w:color="auto"/>
        <w:right w:val="none" w:sz="0" w:space="0" w:color="auto"/>
      </w:divBdr>
    </w:div>
    <w:div w:id="605966771">
      <w:bodyDiv w:val="1"/>
      <w:marLeft w:val="0"/>
      <w:marRight w:val="0"/>
      <w:marTop w:val="0"/>
      <w:marBottom w:val="0"/>
      <w:divBdr>
        <w:top w:val="none" w:sz="0" w:space="0" w:color="auto"/>
        <w:left w:val="none" w:sz="0" w:space="0" w:color="auto"/>
        <w:bottom w:val="none" w:sz="0" w:space="0" w:color="auto"/>
        <w:right w:val="none" w:sz="0" w:space="0" w:color="auto"/>
      </w:divBdr>
    </w:div>
    <w:div w:id="610474453">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28512910">
      <w:bodyDiv w:val="1"/>
      <w:marLeft w:val="0"/>
      <w:marRight w:val="0"/>
      <w:marTop w:val="0"/>
      <w:marBottom w:val="0"/>
      <w:divBdr>
        <w:top w:val="none" w:sz="0" w:space="0" w:color="auto"/>
        <w:left w:val="none" w:sz="0" w:space="0" w:color="auto"/>
        <w:bottom w:val="none" w:sz="0" w:space="0" w:color="auto"/>
        <w:right w:val="none" w:sz="0" w:space="0" w:color="auto"/>
      </w:divBdr>
    </w:div>
    <w:div w:id="630601655">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67290569">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694768159">
      <w:bodyDiv w:val="1"/>
      <w:marLeft w:val="0"/>
      <w:marRight w:val="0"/>
      <w:marTop w:val="0"/>
      <w:marBottom w:val="0"/>
      <w:divBdr>
        <w:top w:val="none" w:sz="0" w:space="0" w:color="auto"/>
        <w:left w:val="none" w:sz="0" w:space="0" w:color="auto"/>
        <w:bottom w:val="none" w:sz="0" w:space="0" w:color="auto"/>
        <w:right w:val="none" w:sz="0" w:space="0" w:color="auto"/>
      </w:divBdr>
    </w:div>
    <w:div w:id="704015258">
      <w:bodyDiv w:val="1"/>
      <w:marLeft w:val="0"/>
      <w:marRight w:val="0"/>
      <w:marTop w:val="0"/>
      <w:marBottom w:val="0"/>
      <w:divBdr>
        <w:top w:val="none" w:sz="0" w:space="0" w:color="auto"/>
        <w:left w:val="none" w:sz="0" w:space="0" w:color="auto"/>
        <w:bottom w:val="none" w:sz="0" w:space="0" w:color="auto"/>
        <w:right w:val="none" w:sz="0" w:space="0" w:color="auto"/>
      </w:divBdr>
    </w:div>
    <w:div w:id="706878537">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747338803">
      <w:bodyDiv w:val="1"/>
      <w:marLeft w:val="0"/>
      <w:marRight w:val="0"/>
      <w:marTop w:val="0"/>
      <w:marBottom w:val="0"/>
      <w:divBdr>
        <w:top w:val="none" w:sz="0" w:space="0" w:color="auto"/>
        <w:left w:val="none" w:sz="0" w:space="0" w:color="auto"/>
        <w:bottom w:val="none" w:sz="0" w:space="0" w:color="auto"/>
        <w:right w:val="none" w:sz="0" w:space="0" w:color="auto"/>
      </w:divBdr>
    </w:div>
    <w:div w:id="755396651">
      <w:bodyDiv w:val="1"/>
      <w:marLeft w:val="0"/>
      <w:marRight w:val="0"/>
      <w:marTop w:val="0"/>
      <w:marBottom w:val="0"/>
      <w:divBdr>
        <w:top w:val="none" w:sz="0" w:space="0" w:color="auto"/>
        <w:left w:val="none" w:sz="0" w:space="0" w:color="auto"/>
        <w:bottom w:val="none" w:sz="0" w:space="0" w:color="auto"/>
        <w:right w:val="none" w:sz="0" w:space="0" w:color="auto"/>
      </w:divBdr>
    </w:div>
    <w:div w:id="765002264">
      <w:bodyDiv w:val="1"/>
      <w:marLeft w:val="0"/>
      <w:marRight w:val="0"/>
      <w:marTop w:val="0"/>
      <w:marBottom w:val="0"/>
      <w:divBdr>
        <w:top w:val="none" w:sz="0" w:space="0" w:color="auto"/>
        <w:left w:val="none" w:sz="0" w:space="0" w:color="auto"/>
        <w:bottom w:val="none" w:sz="0" w:space="0" w:color="auto"/>
        <w:right w:val="none" w:sz="0" w:space="0" w:color="auto"/>
      </w:divBdr>
    </w:div>
    <w:div w:id="766998174">
      <w:bodyDiv w:val="1"/>
      <w:marLeft w:val="0"/>
      <w:marRight w:val="0"/>
      <w:marTop w:val="0"/>
      <w:marBottom w:val="0"/>
      <w:divBdr>
        <w:top w:val="none" w:sz="0" w:space="0" w:color="auto"/>
        <w:left w:val="none" w:sz="0" w:space="0" w:color="auto"/>
        <w:bottom w:val="none" w:sz="0" w:space="0" w:color="auto"/>
        <w:right w:val="none" w:sz="0" w:space="0" w:color="auto"/>
      </w:divBdr>
    </w:div>
    <w:div w:id="790903578">
      <w:bodyDiv w:val="1"/>
      <w:marLeft w:val="0"/>
      <w:marRight w:val="0"/>
      <w:marTop w:val="0"/>
      <w:marBottom w:val="0"/>
      <w:divBdr>
        <w:top w:val="none" w:sz="0" w:space="0" w:color="auto"/>
        <w:left w:val="none" w:sz="0" w:space="0" w:color="auto"/>
        <w:bottom w:val="none" w:sz="0" w:space="0" w:color="auto"/>
        <w:right w:val="none" w:sz="0" w:space="0" w:color="auto"/>
      </w:divBdr>
    </w:div>
    <w:div w:id="791948547">
      <w:bodyDiv w:val="1"/>
      <w:marLeft w:val="0"/>
      <w:marRight w:val="0"/>
      <w:marTop w:val="0"/>
      <w:marBottom w:val="0"/>
      <w:divBdr>
        <w:top w:val="none" w:sz="0" w:space="0" w:color="auto"/>
        <w:left w:val="none" w:sz="0" w:space="0" w:color="auto"/>
        <w:bottom w:val="none" w:sz="0" w:space="0" w:color="auto"/>
        <w:right w:val="none" w:sz="0" w:space="0" w:color="auto"/>
      </w:divBdr>
    </w:div>
    <w:div w:id="809709719">
      <w:bodyDiv w:val="1"/>
      <w:marLeft w:val="0"/>
      <w:marRight w:val="0"/>
      <w:marTop w:val="0"/>
      <w:marBottom w:val="0"/>
      <w:divBdr>
        <w:top w:val="none" w:sz="0" w:space="0" w:color="auto"/>
        <w:left w:val="none" w:sz="0" w:space="0" w:color="auto"/>
        <w:bottom w:val="none" w:sz="0" w:space="0" w:color="auto"/>
        <w:right w:val="none" w:sz="0" w:space="0" w:color="auto"/>
      </w:divBdr>
    </w:div>
    <w:div w:id="813957199">
      <w:bodyDiv w:val="1"/>
      <w:marLeft w:val="0"/>
      <w:marRight w:val="0"/>
      <w:marTop w:val="0"/>
      <w:marBottom w:val="0"/>
      <w:divBdr>
        <w:top w:val="none" w:sz="0" w:space="0" w:color="auto"/>
        <w:left w:val="none" w:sz="0" w:space="0" w:color="auto"/>
        <w:bottom w:val="none" w:sz="0" w:space="0" w:color="auto"/>
        <w:right w:val="none" w:sz="0" w:space="0" w:color="auto"/>
      </w:divBdr>
    </w:div>
    <w:div w:id="815414218">
      <w:bodyDiv w:val="1"/>
      <w:marLeft w:val="0"/>
      <w:marRight w:val="0"/>
      <w:marTop w:val="0"/>
      <w:marBottom w:val="0"/>
      <w:divBdr>
        <w:top w:val="none" w:sz="0" w:space="0" w:color="auto"/>
        <w:left w:val="none" w:sz="0" w:space="0" w:color="auto"/>
        <w:bottom w:val="none" w:sz="0" w:space="0" w:color="auto"/>
        <w:right w:val="none" w:sz="0" w:space="0" w:color="auto"/>
      </w:divBdr>
    </w:div>
    <w:div w:id="823471551">
      <w:bodyDiv w:val="1"/>
      <w:marLeft w:val="0"/>
      <w:marRight w:val="0"/>
      <w:marTop w:val="0"/>
      <w:marBottom w:val="0"/>
      <w:divBdr>
        <w:top w:val="none" w:sz="0" w:space="0" w:color="auto"/>
        <w:left w:val="none" w:sz="0" w:space="0" w:color="auto"/>
        <w:bottom w:val="none" w:sz="0" w:space="0" w:color="auto"/>
        <w:right w:val="none" w:sz="0" w:space="0" w:color="auto"/>
      </w:divBdr>
    </w:div>
    <w:div w:id="833104452">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6722369">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868300333">
      <w:bodyDiv w:val="1"/>
      <w:marLeft w:val="0"/>
      <w:marRight w:val="0"/>
      <w:marTop w:val="0"/>
      <w:marBottom w:val="0"/>
      <w:divBdr>
        <w:top w:val="none" w:sz="0" w:space="0" w:color="auto"/>
        <w:left w:val="none" w:sz="0" w:space="0" w:color="auto"/>
        <w:bottom w:val="none" w:sz="0" w:space="0" w:color="auto"/>
        <w:right w:val="none" w:sz="0" w:space="0" w:color="auto"/>
      </w:divBdr>
    </w:div>
    <w:div w:id="883636360">
      <w:bodyDiv w:val="1"/>
      <w:marLeft w:val="0"/>
      <w:marRight w:val="0"/>
      <w:marTop w:val="0"/>
      <w:marBottom w:val="0"/>
      <w:divBdr>
        <w:top w:val="none" w:sz="0" w:space="0" w:color="auto"/>
        <w:left w:val="none" w:sz="0" w:space="0" w:color="auto"/>
        <w:bottom w:val="none" w:sz="0" w:space="0" w:color="auto"/>
        <w:right w:val="none" w:sz="0" w:space="0" w:color="auto"/>
      </w:divBdr>
    </w:div>
    <w:div w:id="884214708">
      <w:bodyDiv w:val="1"/>
      <w:marLeft w:val="0"/>
      <w:marRight w:val="0"/>
      <w:marTop w:val="0"/>
      <w:marBottom w:val="0"/>
      <w:divBdr>
        <w:top w:val="none" w:sz="0" w:space="0" w:color="auto"/>
        <w:left w:val="none" w:sz="0" w:space="0" w:color="auto"/>
        <w:bottom w:val="none" w:sz="0" w:space="0" w:color="auto"/>
        <w:right w:val="none" w:sz="0" w:space="0" w:color="auto"/>
      </w:divBdr>
    </w:div>
    <w:div w:id="893809054">
      <w:bodyDiv w:val="1"/>
      <w:marLeft w:val="0"/>
      <w:marRight w:val="0"/>
      <w:marTop w:val="0"/>
      <w:marBottom w:val="0"/>
      <w:divBdr>
        <w:top w:val="none" w:sz="0" w:space="0" w:color="auto"/>
        <w:left w:val="none" w:sz="0" w:space="0" w:color="auto"/>
        <w:bottom w:val="none" w:sz="0" w:space="0" w:color="auto"/>
        <w:right w:val="none" w:sz="0" w:space="0" w:color="auto"/>
      </w:divBdr>
    </w:div>
    <w:div w:id="896282087">
      <w:bodyDiv w:val="1"/>
      <w:marLeft w:val="0"/>
      <w:marRight w:val="0"/>
      <w:marTop w:val="0"/>
      <w:marBottom w:val="0"/>
      <w:divBdr>
        <w:top w:val="none" w:sz="0" w:space="0" w:color="auto"/>
        <w:left w:val="none" w:sz="0" w:space="0" w:color="auto"/>
        <w:bottom w:val="none" w:sz="0" w:space="0" w:color="auto"/>
        <w:right w:val="none" w:sz="0" w:space="0" w:color="auto"/>
      </w:divBdr>
    </w:div>
    <w:div w:id="909265587">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2012890">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26495438">
      <w:bodyDiv w:val="1"/>
      <w:marLeft w:val="0"/>
      <w:marRight w:val="0"/>
      <w:marTop w:val="0"/>
      <w:marBottom w:val="0"/>
      <w:divBdr>
        <w:top w:val="none" w:sz="0" w:space="0" w:color="auto"/>
        <w:left w:val="none" w:sz="0" w:space="0" w:color="auto"/>
        <w:bottom w:val="none" w:sz="0" w:space="0" w:color="auto"/>
        <w:right w:val="none" w:sz="0" w:space="0" w:color="auto"/>
      </w:divBdr>
    </w:div>
    <w:div w:id="927540095">
      <w:bodyDiv w:val="1"/>
      <w:marLeft w:val="0"/>
      <w:marRight w:val="0"/>
      <w:marTop w:val="0"/>
      <w:marBottom w:val="0"/>
      <w:divBdr>
        <w:top w:val="none" w:sz="0" w:space="0" w:color="auto"/>
        <w:left w:val="none" w:sz="0" w:space="0" w:color="auto"/>
        <w:bottom w:val="none" w:sz="0" w:space="0" w:color="auto"/>
        <w:right w:val="none" w:sz="0" w:space="0" w:color="auto"/>
      </w:divBdr>
    </w:div>
    <w:div w:id="93305120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49817314">
      <w:bodyDiv w:val="1"/>
      <w:marLeft w:val="0"/>
      <w:marRight w:val="0"/>
      <w:marTop w:val="0"/>
      <w:marBottom w:val="0"/>
      <w:divBdr>
        <w:top w:val="none" w:sz="0" w:space="0" w:color="auto"/>
        <w:left w:val="none" w:sz="0" w:space="0" w:color="auto"/>
        <w:bottom w:val="none" w:sz="0" w:space="0" w:color="auto"/>
        <w:right w:val="none" w:sz="0" w:space="0" w:color="auto"/>
      </w:divBdr>
    </w:div>
    <w:div w:id="950432419">
      <w:bodyDiv w:val="1"/>
      <w:marLeft w:val="0"/>
      <w:marRight w:val="0"/>
      <w:marTop w:val="0"/>
      <w:marBottom w:val="0"/>
      <w:divBdr>
        <w:top w:val="none" w:sz="0" w:space="0" w:color="auto"/>
        <w:left w:val="none" w:sz="0" w:space="0" w:color="auto"/>
        <w:bottom w:val="none" w:sz="0" w:space="0" w:color="auto"/>
        <w:right w:val="none" w:sz="0" w:space="0" w:color="auto"/>
      </w:divBdr>
    </w:div>
    <w:div w:id="954405594">
      <w:bodyDiv w:val="1"/>
      <w:marLeft w:val="0"/>
      <w:marRight w:val="0"/>
      <w:marTop w:val="0"/>
      <w:marBottom w:val="0"/>
      <w:divBdr>
        <w:top w:val="none" w:sz="0" w:space="0" w:color="auto"/>
        <w:left w:val="none" w:sz="0" w:space="0" w:color="auto"/>
        <w:bottom w:val="none" w:sz="0" w:space="0" w:color="auto"/>
        <w:right w:val="none" w:sz="0" w:space="0" w:color="auto"/>
      </w:divBdr>
    </w:div>
    <w:div w:id="954672123">
      <w:bodyDiv w:val="1"/>
      <w:marLeft w:val="0"/>
      <w:marRight w:val="0"/>
      <w:marTop w:val="0"/>
      <w:marBottom w:val="0"/>
      <w:divBdr>
        <w:top w:val="none" w:sz="0" w:space="0" w:color="auto"/>
        <w:left w:val="none" w:sz="0" w:space="0" w:color="auto"/>
        <w:bottom w:val="none" w:sz="0" w:space="0" w:color="auto"/>
        <w:right w:val="none" w:sz="0" w:space="0" w:color="auto"/>
      </w:divBdr>
    </w:div>
    <w:div w:id="965967541">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967128516">
      <w:bodyDiv w:val="1"/>
      <w:marLeft w:val="0"/>
      <w:marRight w:val="0"/>
      <w:marTop w:val="0"/>
      <w:marBottom w:val="0"/>
      <w:divBdr>
        <w:top w:val="none" w:sz="0" w:space="0" w:color="auto"/>
        <w:left w:val="none" w:sz="0" w:space="0" w:color="auto"/>
        <w:bottom w:val="none" w:sz="0" w:space="0" w:color="auto"/>
        <w:right w:val="none" w:sz="0" w:space="0" w:color="auto"/>
      </w:divBdr>
    </w:div>
    <w:div w:id="967786305">
      <w:bodyDiv w:val="1"/>
      <w:marLeft w:val="0"/>
      <w:marRight w:val="0"/>
      <w:marTop w:val="0"/>
      <w:marBottom w:val="0"/>
      <w:divBdr>
        <w:top w:val="none" w:sz="0" w:space="0" w:color="auto"/>
        <w:left w:val="none" w:sz="0" w:space="0" w:color="auto"/>
        <w:bottom w:val="none" w:sz="0" w:space="0" w:color="auto"/>
        <w:right w:val="none" w:sz="0" w:space="0" w:color="auto"/>
      </w:divBdr>
    </w:div>
    <w:div w:id="1004940152">
      <w:bodyDiv w:val="1"/>
      <w:marLeft w:val="0"/>
      <w:marRight w:val="0"/>
      <w:marTop w:val="0"/>
      <w:marBottom w:val="0"/>
      <w:divBdr>
        <w:top w:val="none" w:sz="0" w:space="0" w:color="auto"/>
        <w:left w:val="none" w:sz="0" w:space="0" w:color="auto"/>
        <w:bottom w:val="none" w:sz="0" w:space="0" w:color="auto"/>
        <w:right w:val="none" w:sz="0" w:space="0" w:color="auto"/>
      </w:divBdr>
    </w:div>
    <w:div w:id="1011684767">
      <w:bodyDiv w:val="1"/>
      <w:marLeft w:val="0"/>
      <w:marRight w:val="0"/>
      <w:marTop w:val="0"/>
      <w:marBottom w:val="0"/>
      <w:divBdr>
        <w:top w:val="none" w:sz="0" w:space="0" w:color="auto"/>
        <w:left w:val="none" w:sz="0" w:space="0" w:color="auto"/>
        <w:bottom w:val="none" w:sz="0" w:space="0" w:color="auto"/>
        <w:right w:val="none" w:sz="0" w:space="0" w:color="auto"/>
      </w:divBdr>
    </w:div>
    <w:div w:id="1038549890">
      <w:bodyDiv w:val="1"/>
      <w:marLeft w:val="0"/>
      <w:marRight w:val="0"/>
      <w:marTop w:val="0"/>
      <w:marBottom w:val="0"/>
      <w:divBdr>
        <w:top w:val="none" w:sz="0" w:space="0" w:color="auto"/>
        <w:left w:val="none" w:sz="0" w:space="0" w:color="auto"/>
        <w:bottom w:val="none" w:sz="0" w:space="0" w:color="auto"/>
        <w:right w:val="none" w:sz="0" w:space="0" w:color="auto"/>
      </w:divBdr>
    </w:div>
    <w:div w:id="1041519232">
      <w:bodyDiv w:val="1"/>
      <w:marLeft w:val="0"/>
      <w:marRight w:val="0"/>
      <w:marTop w:val="0"/>
      <w:marBottom w:val="0"/>
      <w:divBdr>
        <w:top w:val="none" w:sz="0" w:space="0" w:color="auto"/>
        <w:left w:val="none" w:sz="0" w:space="0" w:color="auto"/>
        <w:bottom w:val="none" w:sz="0" w:space="0" w:color="auto"/>
        <w:right w:val="none" w:sz="0" w:space="0" w:color="auto"/>
      </w:divBdr>
    </w:div>
    <w:div w:id="1063915219">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70418578">
      <w:bodyDiv w:val="1"/>
      <w:marLeft w:val="0"/>
      <w:marRight w:val="0"/>
      <w:marTop w:val="0"/>
      <w:marBottom w:val="0"/>
      <w:divBdr>
        <w:top w:val="none" w:sz="0" w:space="0" w:color="auto"/>
        <w:left w:val="none" w:sz="0" w:space="0" w:color="auto"/>
        <w:bottom w:val="none" w:sz="0" w:space="0" w:color="auto"/>
        <w:right w:val="none" w:sz="0" w:space="0" w:color="auto"/>
      </w:divBdr>
    </w:div>
    <w:div w:id="1073353917">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84764885">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106194522">
      <w:bodyDiv w:val="1"/>
      <w:marLeft w:val="0"/>
      <w:marRight w:val="0"/>
      <w:marTop w:val="0"/>
      <w:marBottom w:val="0"/>
      <w:divBdr>
        <w:top w:val="none" w:sz="0" w:space="0" w:color="auto"/>
        <w:left w:val="none" w:sz="0" w:space="0" w:color="auto"/>
        <w:bottom w:val="none" w:sz="0" w:space="0" w:color="auto"/>
        <w:right w:val="none" w:sz="0" w:space="0" w:color="auto"/>
      </w:divBdr>
    </w:div>
    <w:div w:id="1106969265">
      <w:bodyDiv w:val="1"/>
      <w:marLeft w:val="0"/>
      <w:marRight w:val="0"/>
      <w:marTop w:val="0"/>
      <w:marBottom w:val="0"/>
      <w:divBdr>
        <w:top w:val="none" w:sz="0" w:space="0" w:color="auto"/>
        <w:left w:val="none" w:sz="0" w:space="0" w:color="auto"/>
        <w:bottom w:val="none" w:sz="0" w:space="0" w:color="auto"/>
        <w:right w:val="none" w:sz="0" w:space="0" w:color="auto"/>
      </w:divBdr>
    </w:div>
    <w:div w:id="1115634451">
      <w:bodyDiv w:val="1"/>
      <w:marLeft w:val="0"/>
      <w:marRight w:val="0"/>
      <w:marTop w:val="0"/>
      <w:marBottom w:val="0"/>
      <w:divBdr>
        <w:top w:val="none" w:sz="0" w:space="0" w:color="auto"/>
        <w:left w:val="none" w:sz="0" w:space="0" w:color="auto"/>
        <w:bottom w:val="none" w:sz="0" w:space="0" w:color="auto"/>
        <w:right w:val="none" w:sz="0" w:space="0" w:color="auto"/>
      </w:divBdr>
    </w:div>
    <w:div w:id="1132748432">
      <w:bodyDiv w:val="1"/>
      <w:marLeft w:val="0"/>
      <w:marRight w:val="0"/>
      <w:marTop w:val="0"/>
      <w:marBottom w:val="0"/>
      <w:divBdr>
        <w:top w:val="none" w:sz="0" w:space="0" w:color="auto"/>
        <w:left w:val="none" w:sz="0" w:space="0" w:color="auto"/>
        <w:bottom w:val="none" w:sz="0" w:space="0" w:color="auto"/>
        <w:right w:val="none" w:sz="0" w:space="0" w:color="auto"/>
      </w:divBdr>
    </w:div>
    <w:div w:id="1180776143">
      <w:bodyDiv w:val="1"/>
      <w:marLeft w:val="0"/>
      <w:marRight w:val="0"/>
      <w:marTop w:val="0"/>
      <w:marBottom w:val="0"/>
      <w:divBdr>
        <w:top w:val="none" w:sz="0" w:space="0" w:color="auto"/>
        <w:left w:val="none" w:sz="0" w:space="0" w:color="auto"/>
        <w:bottom w:val="none" w:sz="0" w:space="0" w:color="auto"/>
        <w:right w:val="none" w:sz="0" w:space="0" w:color="auto"/>
      </w:divBdr>
    </w:div>
    <w:div w:id="1202323886">
      <w:bodyDiv w:val="1"/>
      <w:marLeft w:val="0"/>
      <w:marRight w:val="0"/>
      <w:marTop w:val="0"/>
      <w:marBottom w:val="0"/>
      <w:divBdr>
        <w:top w:val="none" w:sz="0" w:space="0" w:color="auto"/>
        <w:left w:val="none" w:sz="0" w:space="0" w:color="auto"/>
        <w:bottom w:val="none" w:sz="0" w:space="0" w:color="auto"/>
        <w:right w:val="none" w:sz="0" w:space="0" w:color="auto"/>
      </w:divBdr>
    </w:div>
    <w:div w:id="1216504454">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27644">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33781244">
      <w:bodyDiv w:val="1"/>
      <w:marLeft w:val="0"/>
      <w:marRight w:val="0"/>
      <w:marTop w:val="0"/>
      <w:marBottom w:val="0"/>
      <w:divBdr>
        <w:top w:val="none" w:sz="0" w:space="0" w:color="auto"/>
        <w:left w:val="none" w:sz="0" w:space="0" w:color="auto"/>
        <w:bottom w:val="none" w:sz="0" w:space="0" w:color="auto"/>
        <w:right w:val="none" w:sz="0" w:space="0" w:color="auto"/>
      </w:divBdr>
    </w:div>
    <w:div w:id="1234194439">
      <w:bodyDiv w:val="1"/>
      <w:marLeft w:val="0"/>
      <w:marRight w:val="0"/>
      <w:marTop w:val="0"/>
      <w:marBottom w:val="0"/>
      <w:divBdr>
        <w:top w:val="none" w:sz="0" w:space="0" w:color="auto"/>
        <w:left w:val="none" w:sz="0" w:space="0" w:color="auto"/>
        <w:bottom w:val="none" w:sz="0" w:space="0" w:color="auto"/>
        <w:right w:val="none" w:sz="0" w:space="0" w:color="auto"/>
      </w:divBdr>
    </w:div>
    <w:div w:id="1238246447">
      <w:bodyDiv w:val="1"/>
      <w:marLeft w:val="0"/>
      <w:marRight w:val="0"/>
      <w:marTop w:val="0"/>
      <w:marBottom w:val="0"/>
      <w:divBdr>
        <w:top w:val="none" w:sz="0" w:space="0" w:color="auto"/>
        <w:left w:val="none" w:sz="0" w:space="0" w:color="auto"/>
        <w:bottom w:val="none" w:sz="0" w:space="0" w:color="auto"/>
        <w:right w:val="none" w:sz="0" w:space="0" w:color="auto"/>
      </w:divBdr>
    </w:div>
    <w:div w:id="1251550465">
      <w:bodyDiv w:val="1"/>
      <w:marLeft w:val="0"/>
      <w:marRight w:val="0"/>
      <w:marTop w:val="0"/>
      <w:marBottom w:val="0"/>
      <w:divBdr>
        <w:top w:val="none" w:sz="0" w:space="0" w:color="auto"/>
        <w:left w:val="none" w:sz="0" w:space="0" w:color="auto"/>
        <w:bottom w:val="none" w:sz="0" w:space="0" w:color="auto"/>
        <w:right w:val="none" w:sz="0" w:space="0" w:color="auto"/>
      </w:divBdr>
    </w:div>
    <w:div w:id="1261261593">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291665184">
      <w:bodyDiv w:val="1"/>
      <w:marLeft w:val="0"/>
      <w:marRight w:val="0"/>
      <w:marTop w:val="0"/>
      <w:marBottom w:val="0"/>
      <w:divBdr>
        <w:top w:val="none" w:sz="0" w:space="0" w:color="auto"/>
        <w:left w:val="none" w:sz="0" w:space="0" w:color="auto"/>
        <w:bottom w:val="none" w:sz="0" w:space="0" w:color="auto"/>
        <w:right w:val="none" w:sz="0" w:space="0" w:color="auto"/>
      </w:divBdr>
    </w:div>
    <w:div w:id="1302734573">
      <w:bodyDiv w:val="1"/>
      <w:marLeft w:val="0"/>
      <w:marRight w:val="0"/>
      <w:marTop w:val="0"/>
      <w:marBottom w:val="0"/>
      <w:divBdr>
        <w:top w:val="none" w:sz="0" w:space="0" w:color="auto"/>
        <w:left w:val="none" w:sz="0" w:space="0" w:color="auto"/>
        <w:bottom w:val="none" w:sz="0" w:space="0" w:color="auto"/>
        <w:right w:val="none" w:sz="0" w:space="0" w:color="auto"/>
      </w:divBdr>
    </w:div>
    <w:div w:id="1305548414">
      <w:bodyDiv w:val="1"/>
      <w:marLeft w:val="0"/>
      <w:marRight w:val="0"/>
      <w:marTop w:val="0"/>
      <w:marBottom w:val="0"/>
      <w:divBdr>
        <w:top w:val="none" w:sz="0" w:space="0" w:color="auto"/>
        <w:left w:val="none" w:sz="0" w:space="0" w:color="auto"/>
        <w:bottom w:val="none" w:sz="0" w:space="0" w:color="auto"/>
        <w:right w:val="none" w:sz="0" w:space="0" w:color="auto"/>
      </w:divBdr>
    </w:div>
    <w:div w:id="1313868817">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30254521">
      <w:bodyDiv w:val="1"/>
      <w:marLeft w:val="0"/>
      <w:marRight w:val="0"/>
      <w:marTop w:val="0"/>
      <w:marBottom w:val="0"/>
      <w:divBdr>
        <w:top w:val="none" w:sz="0" w:space="0" w:color="auto"/>
        <w:left w:val="none" w:sz="0" w:space="0" w:color="auto"/>
        <w:bottom w:val="none" w:sz="0" w:space="0" w:color="auto"/>
        <w:right w:val="none" w:sz="0" w:space="0" w:color="auto"/>
      </w:divBdr>
    </w:div>
    <w:div w:id="1338070711">
      <w:bodyDiv w:val="1"/>
      <w:marLeft w:val="0"/>
      <w:marRight w:val="0"/>
      <w:marTop w:val="0"/>
      <w:marBottom w:val="0"/>
      <w:divBdr>
        <w:top w:val="none" w:sz="0" w:space="0" w:color="auto"/>
        <w:left w:val="none" w:sz="0" w:space="0" w:color="auto"/>
        <w:bottom w:val="none" w:sz="0" w:space="0" w:color="auto"/>
        <w:right w:val="none" w:sz="0" w:space="0" w:color="auto"/>
      </w:divBdr>
    </w:div>
    <w:div w:id="1362629615">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77120707">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27313438">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36294087">
      <w:bodyDiv w:val="1"/>
      <w:marLeft w:val="0"/>
      <w:marRight w:val="0"/>
      <w:marTop w:val="0"/>
      <w:marBottom w:val="0"/>
      <w:divBdr>
        <w:top w:val="none" w:sz="0" w:space="0" w:color="auto"/>
        <w:left w:val="none" w:sz="0" w:space="0" w:color="auto"/>
        <w:bottom w:val="none" w:sz="0" w:space="0" w:color="auto"/>
        <w:right w:val="none" w:sz="0" w:space="0" w:color="auto"/>
      </w:divBdr>
    </w:div>
    <w:div w:id="1449811322">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475562035">
      <w:bodyDiv w:val="1"/>
      <w:marLeft w:val="0"/>
      <w:marRight w:val="0"/>
      <w:marTop w:val="0"/>
      <w:marBottom w:val="0"/>
      <w:divBdr>
        <w:top w:val="none" w:sz="0" w:space="0" w:color="auto"/>
        <w:left w:val="none" w:sz="0" w:space="0" w:color="auto"/>
        <w:bottom w:val="none" w:sz="0" w:space="0" w:color="auto"/>
        <w:right w:val="none" w:sz="0" w:space="0" w:color="auto"/>
      </w:divBdr>
    </w:div>
    <w:div w:id="1479151642">
      <w:bodyDiv w:val="1"/>
      <w:marLeft w:val="0"/>
      <w:marRight w:val="0"/>
      <w:marTop w:val="0"/>
      <w:marBottom w:val="0"/>
      <w:divBdr>
        <w:top w:val="none" w:sz="0" w:space="0" w:color="auto"/>
        <w:left w:val="none" w:sz="0" w:space="0" w:color="auto"/>
        <w:bottom w:val="none" w:sz="0" w:space="0" w:color="auto"/>
        <w:right w:val="none" w:sz="0" w:space="0" w:color="auto"/>
      </w:divBdr>
    </w:div>
    <w:div w:id="1507554093">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537891874">
      <w:bodyDiv w:val="1"/>
      <w:marLeft w:val="0"/>
      <w:marRight w:val="0"/>
      <w:marTop w:val="0"/>
      <w:marBottom w:val="0"/>
      <w:divBdr>
        <w:top w:val="none" w:sz="0" w:space="0" w:color="auto"/>
        <w:left w:val="none" w:sz="0" w:space="0" w:color="auto"/>
        <w:bottom w:val="none" w:sz="0" w:space="0" w:color="auto"/>
        <w:right w:val="none" w:sz="0" w:space="0" w:color="auto"/>
      </w:divBdr>
    </w:div>
    <w:div w:id="1538199257">
      <w:bodyDiv w:val="1"/>
      <w:marLeft w:val="0"/>
      <w:marRight w:val="0"/>
      <w:marTop w:val="0"/>
      <w:marBottom w:val="0"/>
      <w:divBdr>
        <w:top w:val="none" w:sz="0" w:space="0" w:color="auto"/>
        <w:left w:val="none" w:sz="0" w:space="0" w:color="auto"/>
        <w:bottom w:val="none" w:sz="0" w:space="0" w:color="auto"/>
        <w:right w:val="none" w:sz="0" w:space="0" w:color="auto"/>
      </w:divBdr>
    </w:div>
    <w:div w:id="1539318805">
      <w:bodyDiv w:val="1"/>
      <w:marLeft w:val="0"/>
      <w:marRight w:val="0"/>
      <w:marTop w:val="0"/>
      <w:marBottom w:val="0"/>
      <w:divBdr>
        <w:top w:val="none" w:sz="0" w:space="0" w:color="auto"/>
        <w:left w:val="none" w:sz="0" w:space="0" w:color="auto"/>
        <w:bottom w:val="none" w:sz="0" w:space="0" w:color="auto"/>
        <w:right w:val="none" w:sz="0" w:space="0" w:color="auto"/>
      </w:divBdr>
    </w:div>
    <w:div w:id="1539510699">
      <w:bodyDiv w:val="1"/>
      <w:marLeft w:val="0"/>
      <w:marRight w:val="0"/>
      <w:marTop w:val="0"/>
      <w:marBottom w:val="0"/>
      <w:divBdr>
        <w:top w:val="none" w:sz="0" w:space="0" w:color="auto"/>
        <w:left w:val="none" w:sz="0" w:space="0" w:color="auto"/>
        <w:bottom w:val="none" w:sz="0" w:space="0" w:color="auto"/>
        <w:right w:val="none" w:sz="0" w:space="0" w:color="auto"/>
      </w:divBdr>
    </w:div>
    <w:div w:id="1540045814">
      <w:bodyDiv w:val="1"/>
      <w:marLeft w:val="0"/>
      <w:marRight w:val="0"/>
      <w:marTop w:val="0"/>
      <w:marBottom w:val="0"/>
      <w:divBdr>
        <w:top w:val="none" w:sz="0" w:space="0" w:color="auto"/>
        <w:left w:val="none" w:sz="0" w:space="0" w:color="auto"/>
        <w:bottom w:val="none" w:sz="0" w:space="0" w:color="auto"/>
        <w:right w:val="none" w:sz="0" w:space="0" w:color="auto"/>
      </w:divBdr>
    </w:div>
    <w:div w:id="1541090850">
      <w:bodyDiv w:val="1"/>
      <w:marLeft w:val="0"/>
      <w:marRight w:val="0"/>
      <w:marTop w:val="0"/>
      <w:marBottom w:val="0"/>
      <w:divBdr>
        <w:top w:val="none" w:sz="0" w:space="0" w:color="auto"/>
        <w:left w:val="none" w:sz="0" w:space="0" w:color="auto"/>
        <w:bottom w:val="none" w:sz="0" w:space="0" w:color="auto"/>
        <w:right w:val="none" w:sz="0" w:space="0" w:color="auto"/>
      </w:divBdr>
    </w:div>
    <w:div w:id="1544291848">
      <w:bodyDiv w:val="1"/>
      <w:marLeft w:val="0"/>
      <w:marRight w:val="0"/>
      <w:marTop w:val="0"/>
      <w:marBottom w:val="0"/>
      <w:divBdr>
        <w:top w:val="none" w:sz="0" w:space="0" w:color="auto"/>
        <w:left w:val="none" w:sz="0" w:space="0" w:color="auto"/>
        <w:bottom w:val="none" w:sz="0" w:space="0" w:color="auto"/>
        <w:right w:val="none" w:sz="0" w:space="0" w:color="auto"/>
      </w:divBdr>
    </w:div>
    <w:div w:id="1552644536">
      <w:bodyDiv w:val="1"/>
      <w:marLeft w:val="0"/>
      <w:marRight w:val="0"/>
      <w:marTop w:val="0"/>
      <w:marBottom w:val="0"/>
      <w:divBdr>
        <w:top w:val="none" w:sz="0" w:space="0" w:color="auto"/>
        <w:left w:val="none" w:sz="0" w:space="0" w:color="auto"/>
        <w:bottom w:val="none" w:sz="0" w:space="0" w:color="auto"/>
        <w:right w:val="none" w:sz="0" w:space="0" w:color="auto"/>
      </w:divBdr>
    </w:div>
    <w:div w:id="1560936535">
      <w:bodyDiv w:val="1"/>
      <w:marLeft w:val="0"/>
      <w:marRight w:val="0"/>
      <w:marTop w:val="0"/>
      <w:marBottom w:val="0"/>
      <w:divBdr>
        <w:top w:val="none" w:sz="0" w:space="0" w:color="auto"/>
        <w:left w:val="none" w:sz="0" w:space="0" w:color="auto"/>
        <w:bottom w:val="none" w:sz="0" w:space="0" w:color="auto"/>
        <w:right w:val="none" w:sz="0" w:space="0" w:color="auto"/>
      </w:divBdr>
    </w:div>
    <w:div w:id="1570340741">
      <w:bodyDiv w:val="1"/>
      <w:marLeft w:val="0"/>
      <w:marRight w:val="0"/>
      <w:marTop w:val="0"/>
      <w:marBottom w:val="0"/>
      <w:divBdr>
        <w:top w:val="none" w:sz="0" w:space="0" w:color="auto"/>
        <w:left w:val="none" w:sz="0" w:space="0" w:color="auto"/>
        <w:bottom w:val="none" w:sz="0" w:space="0" w:color="auto"/>
        <w:right w:val="none" w:sz="0" w:space="0" w:color="auto"/>
      </w:divBdr>
    </w:div>
    <w:div w:id="1581981866">
      <w:bodyDiv w:val="1"/>
      <w:marLeft w:val="0"/>
      <w:marRight w:val="0"/>
      <w:marTop w:val="0"/>
      <w:marBottom w:val="0"/>
      <w:divBdr>
        <w:top w:val="none" w:sz="0" w:space="0" w:color="auto"/>
        <w:left w:val="none" w:sz="0" w:space="0" w:color="auto"/>
        <w:bottom w:val="none" w:sz="0" w:space="0" w:color="auto"/>
        <w:right w:val="none" w:sz="0" w:space="0" w:color="auto"/>
      </w:divBdr>
    </w:div>
    <w:div w:id="1584950786">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0548315">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14554508">
      <w:bodyDiv w:val="1"/>
      <w:marLeft w:val="0"/>
      <w:marRight w:val="0"/>
      <w:marTop w:val="0"/>
      <w:marBottom w:val="0"/>
      <w:divBdr>
        <w:top w:val="none" w:sz="0" w:space="0" w:color="auto"/>
        <w:left w:val="none" w:sz="0" w:space="0" w:color="auto"/>
        <w:bottom w:val="none" w:sz="0" w:space="0" w:color="auto"/>
        <w:right w:val="none" w:sz="0" w:space="0" w:color="auto"/>
      </w:divBdr>
    </w:div>
    <w:div w:id="162622791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58071179">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17392425">
      <w:bodyDiv w:val="1"/>
      <w:marLeft w:val="0"/>
      <w:marRight w:val="0"/>
      <w:marTop w:val="0"/>
      <w:marBottom w:val="0"/>
      <w:divBdr>
        <w:top w:val="none" w:sz="0" w:space="0" w:color="auto"/>
        <w:left w:val="none" w:sz="0" w:space="0" w:color="auto"/>
        <w:bottom w:val="none" w:sz="0" w:space="0" w:color="auto"/>
        <w:right w:val="none" w:sz="0" w:space="0" w:color="auto"/>
      </w:divBdr>
    </w:div>
    <w:div w:id="1733776296">
      <w:bodyDiv w:val="1"/>
      <w:marLeft w:val="0"/>
      <w:marRight w:val="0"/>
      <w:marTop w:val="0"/>
      <w:marBottom w:val="0"/>
      <w:divBdr>
        <w:top w:val="none" w:sz="0" w:space="0" w:color="auto"/>
        <w:left w:val="none" w:sz="0" w:space="0" w:color="auto"/>
        <w:bottom w:val="none" w:sz="0" w:space="0" w:color="auto"/>
        <w:right w:val="none" w:sz="0" w:space="0" w:color="auto"/>
      </w:divBdr>
    </w:div>
    <w:div w:id="1746953578">
      <w:bodyDiv w:val="1"/>
      <w:marLeft w:val="0"/>
      <w:marRight w:val="0"/>
      <w:marTop w:val="0"/>
      <w:marBottom w:val="0"/>
      <w:divBdr>
        <w:top w:val="none" w:sz="0" w:space="0" w:color="auto"/>
        <w:left w:val="none" w:sz="0" w:space="0" w:color="auto"/>
        <w:bottom w:val="none" w:sz="0" w:space="0" w:color="auto"/>
        <w:right w:val="none" w:sz="0" w:space="0" w:color="auto"/>
      </w:divBdr>
    </w:div>
    <w:div w:id="1750729942">
      <w:bodyDiv w:val="1"/>
      <w:marLeft w:val="0"/>
      <w:marRight w:val="0"/>
      <w:marTop w:val="0"/>
      <w:marBottom w:val="0"/>
      <w:divBdr>
        <w:top w:val="none" w:sz="0" w:space="0" w:color="auto"/>
        <w:left w:val="none" w:sz="0" w:space="0" w:color="auto"/>
        <w:bottom w:val="none" w:sz="0" w:space="0" w:color="auto"/>
        <w:right w:val="none" w:sz="0" w:space="0" w:color="auto"/>
      </w:divBdr>
    </w:div>
    <w:div w:id="1755516893">
      <w:bodyDiv w:val="1"/>
      <w:marLeft w:val="0"/>
      <w:marRight w:val="0"/>
      <w:marTop w:val="0"/>
      <w:marBottom w:val="0"/>
      <w:divBdr>
        <w:top w:val="none" w:sz="0" w:space="0" w:color="auto"/>
        <w:left w:val="none" w:sz="0" w:space="0" w:color="auto"/>
        <w:bottom w:val="none" w:sz="0" w:space="0" w:color="auto"/>
        <w:right w:val="none" w:sz="0" w:space="0" w:color="auto"/>
      </w:divBdr>
    </w:div>
    <w:div w:id="1760981314">
      <w:bodyDiv w:val="1"/>
      <w:marLeft w:val="0"/>
      <w:marRight w:val="0"/>
      <w:marTop w:val="0"/>
      <w:marBottom w:val="0"/>
      <w:divBdr>
        <w:top w:val="none" w:sz="0" w:space="0" w:color="auto"/>
        <w:left w:val="none" w:sz="0" w:space="0" w:color="auto"/>
        <w:bottom w:val="none" w:sz="0" w:space="0" w:color="auto"/>
        <w:right w:val="none" w:sz="0" w:space="0" w:color="auto"/>
      </w:divBdr>
    </w:div>
    <w:div w:id="1762339235">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0467263">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78482662">
      <w:bodyDiv w:val="1"/>
      <w:marLeft w:val="0"/>
      <w:marRight w:val="0"/>
      <w:marTop w:val="0"/>
      <w:marBottom w:val="0"/>
      <w:divBdr>
        <w:top w:val="none" w:sz="0" w:space="0" w:color="auto"/>
        <w:left w:val="none" w:sz="0" w:space="0" w:color="auto"/>
        <w:bottom w:val="none" w:sz="0" w:space="0" w:color="auto"/>
        <w:right w:val="none" w:sz="0" w:space="0" w:color="auto"/>
      </w:divBdr>
    </w:div>
    <w:div w:id="179124028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0902261">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20615638">
      <w:bodyDiv w:val="1"/>
      <w:marLeft w:val="0"/>
      <w:marRight w:val="0"/>
      <w:marTop w:val="0"/>
      <w:marBottom w:val="0"/>
      <w:divBdr>
        <w:top w:val="none" w:sz="0" w:space="0" w:color="auto"/>
        <w:left w:val="none" w:sz="0" w:space="0" w:color="auto"/>
        <w:bottom w:val="none" w:sz="0" w:space="0" w:color="auto"/>
        <w:right w:val="none" w:sz="0" w:space="0" w:color="auto"/>
      </w:divBdr>
    </w:div>
    <w:div w:id="1839887599">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857578448">
      <w:bodyDiv w:val="1"/>
      <w:marLeft w:val="0"/>
      <w:marRight w:val="0"/>
      <w:marTop w:val="0"/>
      <w:marBottom w:val="0"/>
      <w:divBdr>
        <w:top w:val="none" w:sz="0" w:space="0" w:color="auto"/>
        <w:left w:val="none" w:sz="0" w:space="0" w:color="auto"/>
        <w:bottom w:val="none" w:sz="0" w:space="0" w:color="auto"/>
        <w:right w:val="none" w:sz="0" w:space="0" w:color="auto"/>
      </w:divBdr>
    </w:div>
    <w:div w:id="1862277915">
      <w:bodyDiv w:val="1"/>
      <w:marLeft w:val="0"/>
      <w:marRight w:val="0"/>
      <w:marTop w:val="0"/>
      <w:marBottom w:val="0"/>
      <w:divBdr>
        <w:top w:val="none" w:sz="0" w:space="0" w:color="auto"/>
        <w:left w:val="none" w:sz="0" w:space="0" w:color="auto"/>
        <w:bottom w:val="none" w:sz="0" w:space="0" w:color="auto"/>
        <w:right w:val="none" w:sz="0" w:space="0" w:color="auto"/>
      </w:divBdr>
    </w:div>
    <w:div w:id="1868522234">
      <w:bodyDiv w:val="1"/>
      <w:marLeft w:val="0"/>
      <w:marRight w:val="0"/>
      <w:marTop w:val="0"/>
      <w:marBottom w:val="0"/>
      <w:divBdr>
        <w:top w:val="none" w:sz="0" w:space="0" w:color="auto"/>
        <w:left w:val="none" w:sz="0" w:space="0" w:color="auto"/>
        <w:bottom w:val="none" w:sz="0" w:space="0" w:color="auto"/>
        <w:right w:val="none" w:sz="0" w:space="0" w:color="auto"/>
      </w:divBdr>
    </w:div>
    <w:div w:id="1873033092">
      <w:bodyDiv w:val="1"/>
      <w:marLeft w:val="0"/>
      <w:marRight w:val="0"/>
      <w:marTop w:val="0"/>
      <w:marBottom w:val="0"/>
      <w:divBdr>
        <w:top w:val="none" w:sz="0" w:space="0" w:color="auto"/>
        <w:left w:val="none" w:sz="0" w:space="0" w:color="auto"/>
        <w:bottom w:val="none" w:sz="0" w:space="0" w:color="auto"/>
        <w:right w:val="none" w:sz="0" w:space="0" w:color="auto"/>
      </w:divBdr>
    </w:div>
    <w:div w:id="1882400119">
      <w:bodyDiv w:val="1"/>
      <w:marLeft w:val="0"/>
      <w:marRight w:val="0"/>
      <w:marTop w:val="0"/>
      <w:marBottom w:val="0"/>
      <w:divBdr>
        <w:top w:val="none" w:sz="0" w:space="0" w:color="auto"/>
        <w:left w:val="none" w:sz="0" w:space="0" w:color="auto"/>
        <w:bottom w:val="none" w:sz="0" w:space="0" w:color="auto"/>
        <w:right w:val="none" w:sz="0" w:space="0" w:color="auto"/>
      </w:divBdr>
    </w:div>
    <w:div w:id="1883667104">
      <w:bodyDiv w:val="1"/>
      <w:marLeft w:val="0"/>
      <w:marRight w:val="0"/>
      <w:marTop w:val="0"/>
      <w:marBottom w:val="0"/>
      <w:divBdr>
        <w:top w:val="none" w:sz="0" w:space="0" w:color="auto"/>
        <w:left w:val="none" w:sz="0" w:space="0" w:color="auto"/>
        <w:bottom w:val="none" w:sz="0" w:space="0" w:color="auto"/>
        <w:right w:val="none" w:sz="0" w:space="0" w:color="auto"/>
      </w:divBdr>
    </w:div>
    <w:div w:id="1905137014">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2152138">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1916234983">
      <w:bodyDiv w:val="1"/>
      <w:marLeft w:val="0"/>
      <w:marRight w:val="0"/>
      <w:marTop w:val="0"/>
      <w:marBottom w:val="0"/>
      <w:divBdr>
        <w:top w:val="none" w:sz="0" w:space="0" w:color="auto"/>
        <w:left w:val="none" w:sz="0" w:space="0" w:color="auto"/>
        <w:bottom w:val="none" w:sz="0" w:space="0" w:color="auto"/>
        <w:right w:val="none" w:sz="0" w:space="0" w:color="auto"/>
      </w:divBdr>
    </w:div>
    <w:div w:id="1923368668">
      <w:bodyDiv w:val="1"/>
      <w:marLeft w:val="0"/>
      <w:marRight w:val="0"/>
      <w:marTop w:val="0"/>
      <w:marBottom w:val="0"/>
      <w:divBdr>
        <w:top w:val="none" w:sz="0" w:space="0" w:color="auto"/>
        <w:left w:val="none" w:sz="0" w:space="0" w:color="auto"/>
        <w:bottom w:val="none" w:sz="0" w:space="0" w:color="auto"/>
        <w:right w:val="none" w:sz="0" w:space="0" w:color="auto"/>
      </w:divBdr>
    </w:div>
    <w:div w:id="1944267129">
      <w:bodyDiv w:val="1"/>
      <w:marLeft w:val="0"/>
      <w:marRight w:val="0"/>
      <w:marTop w:val="0"/>
      <w:marBottom w:val="0"/>
      <w:divBdr>
        <w:top w:val="none" w:sz="0" w:space="0" w:color="auto"/>
        <w:left w:val="none" w:sz="0" w:space="0" w:color="auto"/>
        <w:bottom w:val="none" w:sz="0" w:space="0" w:color="auto"/>
        <w:right w:val="none" w:sz="0" w:space="0" w:color="auto"/>
      </w:divBdr>
    </w:div>
    <w:div w:id="1962610622">
      <w:bodyDiv w:val="1"/>
      <w:marLeft w:val="0"/>
      <w:marRight w:val="0"/>
      <w:marTop w:val="0"/>
      <w:marBottom w:val="0"/>
      <w:divBdr>
        <w:top w:val="none" w:sz="0" w:space="0" w:color="auto"/>
        <w:left w:val="none" w:sz="0" w:space="0" w:color="auto"/>
        <w:bottom w:val="none" w:sz="0" w:space="0" w:color="auto"/>
        <w:right w:val="none" w:sz="0" w:space="0" w:color="auto"/>
      </w:divBdr>
    </w:div>
    <w:div w:id="2004624226">
      <w:bodyDiv w:val="1"/>
      <w:marLeft w:val="0"/>
      <w:marRight w:val="0"/>
      <w:marTop w:val="0"/>
      <w:marBottom w:val="0"/>
      <w:divBdr>
        <w:top w:val="none" w:sz="0" w:space="0" w:color="auto"/>
        <w:left w:val="none" w:sz="0" w:space="0" w:color="auto"/>
        <w:bottom w:val="none" w:sz="0" w:space="0" w:color="auto"/>
        <w:right w:val="none" w:sz="0" w:space="0" w:color="auto"/>
      </w:divBdr>
    </w:div>
    <w:div w:id="2011642207">
      <w:bodyDiv w:val="1"/>
      <w:marLeft w:val="0"/>
      <w:marRight w:val="0"/>
      <w:marTop w:val="0"/>
      <w:marBottom w:val="0"/>
      <w:divBdr>
        <w:top w:val="none" w:sz="0" w:space="0" w:color="auto"/>
        <w:left w:val="none" w:sz="0" w:space="0" w:color="auto"/>
        <w:bottom w:val="none" w:sz="0" w:space="0" w:color="auto"/>
        <w:right w:val="none" w:sz="0" w:space="0" w:color="auto"/>
      </w:divBdr>
    </w:div>
    <w:div w:id="2015450303">
      <w:bodyDiv w:val="1"/>
      <w:marLeft w:val="0"/>
      <w:marRight w:val="0"/>
      <w:marTop w:val="0"/>
      <w:marBottom w:val="0"/>
      <w:divBdr>
        <w:top w:val="none" w:sz="0" w:space="0" w:color="auto"/>
        <w:left w:val="none" w:sz="0" w:space="0" w:color="auto"/>
        <w:bottom w:val="none" w:sz="0" w:space="0" w:color="auto"/>
        <w:right w:val="none" w:sz="0" w:space="0" w:color="auto"/>
      </w:divBdr>
    </w:div>
    <w:div w:id="2016347039">
      <w:bodyDiv w:val="1"/>
      <w:marLeft w:val="0"/>
      <w:marRight w:val="0"/>
      <w:marTop w:val="0"/>
      <w:marBottom w:val="0"/>
      <w:divBdr>
        <w:top w:val="none" w:sz="0" w:space="0" w:color="auto"/>
        <w:left w:val="none" w:sz="0" w:space="0" w:color="auto"/>
        <w:bottom w:val="none" w:sz="0" w:space="0" w:color="auto"/>
        <w:right w:val="none" w:sz="0" w:space="0" w:color="auto"/>
      </w:divBdr>
    </w:div>
    <w:div w:id="2019458021">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26590296">
      <w:bodyDiv w:val="1"/>
      <w:marLeft w:val="0"/>
      <w:marRight w:val="0"/>
      <w:marTop w:val="0"/>
      <w:marBottom w:val="0"/>
      <w:divBdr>
        <w:top w:val="none" w:sz="0" w:space="0" w:color="auto"/>
        <w:left w:val="none" w:sz="0" w:space="0" w:color="auto"/>
        <w:bottom w:val="none" w:sz="0" w:space="0" w:color="auto"/>
        <w:right w:val="none" w:sz="0" w:space="0" w:color="auto"/>
      </w:divBdr>
    </w:div>
    <w:div w:id="2032217934">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 w:id="2045523257">
      <w:bodyDiv w:val="1"/>
      <w:marLeft w:val="0"/>
      <w:marRight w:val="0"/>
      <w:marTop w:val="0"/>
      <w:marBottom w:val="0"/>
      <w:divBdr>
        <w:top w:val="none" w:sz="0" w:space="0" w:color="auto"/>
        <w:left w:val="none" w:sz="0" w:space="0" w:color="auto"/>
        <w:bottom w:val="none" w:sz="0" w:space="0" w:color="auto"/>
        <w:right w:val="none" w:sz="0" w:space="0" w:color="auto"/>
      </w:divBdr>
    </w:div>
    <w:div w:id="2045790226">
      <w:bodyDiv w:val="1"/>
      <w:marLeft w:val="0"/>
      <w:marRight w:val="0"/>
      <w:marTop w:val="0"/>
      <w:marBottom w:val="0"/>
      <w:divBdr>
        <w:top w:val="none" w:sz="0" w:space="0" w:color="auto"/>
        <w:left w:val="none" w:sz="0" w:space="0" w:color="auto"/>
        <w:bottom w:val="none" w:sz="0" w:space="0" w:color="auto"/>
        <w:right w:val="none" w:sz="0" w:space="0" w:color="auto"/>
      </w:divBdr>
    </w:div>
    <w:div w:id="2062514364">
      <w:bodyDiv w:val="1"/>
      <w:marLeft w:val="0"/>
      <w:marRight w:val="0"/>
      <w:marTop w:val="0"/>
      <w:marBottom w:val="0"/>
      <w:divBdr>
        <w:top w:val="none" w:sz="0" w:space="0" w:color="auto"/>
        <w:left w:val="none" w:sz="0" w:space="0" w:color="auto"/>
        <w:bottom w:val="none" w:sz="0" w:space="0" w:color="auto"/>
        <w:right w:val="none" w:sz="0" w:space="0" w:color="auto"/>
      </w:divBdr>
    </w:div>
    <w:div w:id="2065368980">
      <w:bodyDiv w:val="1"/>
      <w:marLeft w:val="0"/>
      <w:marRight w:val="0"/>
      <w:marTop w:val="0"/>
      <w:marBottom w:val="0"/>
      <w:divBdr>
        <w:top w:val="none" w:sz="0" w:space="0" w:color="auto"/>
        <w:left w:val="none" w:sz="0" w:space="0" w:color="auto"/>
        <w:bottom w:val="none" w:sz="0" w:space="0" w:color="auto"/>
        <w:right w:val="none" w:sz="0" w:space="0" w:color="auto"/>
      </w:divBdr>
    </w:div>
    <w:div w:id="2087915281">
      <w:bodyDiv w:val="1"/>
      <w:marLeft w:val="0"/>
      <w:marRight w:val="0"/>
      <w:marTop w:val="0"/>
      <w:marBottom w:val="0"/>
      <w:divBdr>
        <w:top w:val="none" w:sz="0" w:space="0" w:color="auto"/>
        <w:left w:val="none" w:sz="0" w:space="0" w:color="auto"/>
        <w:bottom w:val="none" w:sz="0" w:space="0" w:color="auto"/>
        <w:right w:val="none" w:sz="0" w:space="0" w:color="auto"/>
      </w:divBdr>
    </w:div>
    <w:div w:id="2118022899">
      <w:bodyDiv w:val="1"/>
      <w:marLeft w:val="0"/>
      <w:marRight w:val="0"/>
      <w:marTop w:val="0"/>
      <w:marBottom w:val="0"/>
      <w:divBdr>
        <w:top w:val="none" w:sz="0" w:space="0" w:color="auto"/>
        <w:left w:val="none" w:sz="0" w:space="0" w:color="auto"/>
        <w:bottom w:val="none" w:sz="0" w:space="0" w:color="auto"/>
        <w:right w:val="none" w:sz="0" w:space="0" w:color="auto"/>
      </w:divBdr>
    </w:div>
    <w:div w:id="2120493291">
      <w:bodyDiv w:val="1"/>
      <w:marLeft w:val="0"/>
      <w:marRight w:val="0"/>
      <w:marTop w:val="0"/>
      <w:marBottom w:val="0"/>
      <w:divBdr>
        <w:top w:val="none" w:sz="0" w:space="0" w:color="auto"/>
        <w:left w:val="none" w:sz="0" w:space="0" w:color="auto"/>
        <w:bottom w:val="none" w:sz="0" w:space="0" w:color="auto"/>
        <w:right w:val="none" w:sz="0" w:space="0" w:color="auto"/>
      </w:divBdr>
    </w:div>
    <w:div w:id="2121096797">
      <w:bodyDiv w:val="1"/>
      <w:marLeft w:val="0"/>
      <w:marRight w:val="0"/>
      <w:marTop w:val="0"/>
      <w:marBottom w:val="0"/>
      <w:divBdr>
        <w:top w:val="none" w:sz="0" w:space="0" w:color="auto"/>
        <w:left w:val="none" w:sz="0" w:space="0" w:color="auto"/>
        <w:bottom w:val="none" w:sz="0" w:space="0" w:color="auto"/>
        <w:right w:val="none" w:sz="0" w:space="0" w:color="auto"/>
      </w:divBdr>
    </w:div>
    <w:div w:id="2121144045">
      <w:bodyDiv w:val="1"/>
      <w:marLeft w:val="0"/>
      <w:marRight w:val="0"/>
      <w:marTop w:val="0"/>
      <w:marBottom w:val="0"/>
      <w:divBdr>
        <w:top w:val="none" w:sz="0" w:space="0" w:color="auto"/>
        <w:left w:val="none" w:sz="0" w:space="0" w:color="auto"/>
        <w:bottom w:val="none" w:sz="0" w:space="0" w:color="auto"/>
        <w:right w:val="none" w:sz="0" w:space="0" w:color="auto"/>
      </w:divBdr>
    </w:div>
    <w:div w:id="2122146231">
      <w:bodyDiv w:val="1"/>
      <w:marLeft w:val="0"/>
      <w:marRight w:val="0"/>
      <w:marTop w:val="0"/>
      <w:marBottom w:val="0"/>
      <w:divBdr>
        <w:top w:val="none" w:sz="0" w:space="0" w:color="auto"/>
        <w:left w:val="none" w:sz="0" w:space="0" w:color="auto"/>
        <w:bottom w:val="none" w:sz="0" w:space="0" w:color="auto"/>
        <w:right w:val="none" w:sz="0" w:space="0" w:color="auto"/>
      </w:divBdr>
    </w:div>
    <w:div w:id="2135098616">
      <w:bodyDiv w:val="1"/>
      <w:marLeft w:val="0"/>
      <w:marRight w:val="0"/>
      <w:marTop w:val="0"/>
      <w:marBottom w:val="0"/>
      <w:divBdr>
        <w:top w:val="none" w:sz="0" w:space="0" w:color="auto"/>
        <w:left w:val="none" w:sz="0" w:space="0" w:color="auto"/>
        <w:bottom w:val="none" w:sz="0" w:space="0" w:color="auto"/>
        <w:right w:val="none" w:sz="0" w:space="0" w:color="auto"/>
      </w:divBdr>
    </w:div>
    <w:div w:id="21360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srn.com/abstract=9624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Jen16</b:Tag>
    <b:SourceType>JournalArticle</b:SourceType>
    <b:Guid>{84985B5A-FBDB-4693-B1E4-5B248BB6FD3A}</b:Guid>
    <b:Author>
      <b:Author>
        <b:NameList>
          <b:Person>
            <b:Last>Jennings</b:Last>
            <b:Middle>W</b:Middle>
            <b:First>William</b:First>
          </b:Person>
          <b:Person>
            <b:Last>Payne</b:Last>
            <b:Middle>C</b:Middle>
            <b:First>Brian</b:First>
          </b:Person>
        </b:NameList>
      </b:Author>
    </b:Author>
    <b:Title>Fees Eat Diversification Lunch</b:Title>
    <b:Year>2016</b:Year>
    <b:JournalName>Financial Analysts Journal</b:JournalName>
    <b:Pages>31-40</b:Pages>
    <b:Volume>72</b:Volume>
    <b:Issue>2</b:Issue>
    <b:RefOrder>5</b:RefOrder>
  </b:Source>
  <b:Source>
    <b:Tag>Cle13</b:Tag>
    <b:SourceType>Book</b:SourceType>
    <b:Guid>{5F3F4AE4-1ACB-4989-829F-38F34C54D351}</b:Guid>
    <b:Title>Following the Trend</b:Title>
    <b:Year>2013</b:Year>
    <b:Author>
      <b:Author>
        <b:NameList>
          <b:Person>
            <b:Last>Clenow</b:Last>
            <b:First>Andreas</b:First>
          </b:Person>
        </b:NameList>
      </b:Author>
    </b:Author>
    <b:RefOrder>2</b:RefOrder>
  </b:Source>
  <b:Source>
    <b:Tag>Mar52</b:Tag>
    <b:SourceType>JournalArticle</b:SourceType>
    <b:Guid>{F6B99DE8-BEEC-4033-9052-DE69E926BB4F}</b:Guid>
    <b:Title>Portfolio Selection</b:Title>
    <b:Year>1952</b:Year>
    <b:Pages>77-91</b:Pages>
    <b:Author>
      <b:Author>
        <b:NameList>
          <b:Person>
            <b:Last>Markowitz</b:Last>
            <b:First>Harry</b:First>
          </b:Person>
        </b:NameList>
      </b:Author>
    </b:Author>
    <b:JournalName>The Journal of Finance</b:JournalName>
    <b:Volume>7</b:Volume>
    <b:Issue>1</b:Issue>
    <b:RefOrder>6</b:RefOrder>
  </b:Source>
  <b:Source>
    <b:Tag>San10</b:Tag>
    <b:SourceType>Report</b:SourceType>
    <b:Guid>{9AD7F84A-0538-4A8E-906E-C8DBCB0FF845}</b:Guid>
    <b:Year>2010</b:Year>
    <b:Author>
      <b:Author>
        <b:NameList>
          <b:Person>
            <b:Last>Sandoval Jr</b:Last>
            <b:First>Leonidas</b:First>
          </b:Person>
          <b:Person>
            <b:Last>Franca</b:Last>
            <b:First>Italo</b:First>
          </b:Person>
        </b:NameList>
      </b:Author>
    </b:Author>
    <b:Title>Correlation of financial markets in times of crisis</b:Title>
    <b:RefOrder>7</b:RefOrder>
  </b:Source>
  <b:Source>
    <b:Tag>Gre14</b:Tag>
    <b:SourceType>Book</b:SourceType>
    <b:Guid>{F84ECDBA-6286-4D92-8CA4-26931A1BFF5F}</b:Guid>
    <b:Title>Trend Following with Managed Futures: The Search for Crisis Alpha</b:Title>
    <b:Year>2014</b:Year>
    <b:Author>
      <b:Author>
        <b:NameList>
          <b:Person>
            <b:Last>Greyserman</b:Last>
            <b:First>Alex</b:First>
          </b:Person>
          <b:Person>
            <b:Last>Kaminski</b:Last>
            <b:First>Kathryn</b:First>
          </b:Person>
        </b:NameList>
      </b:Author>
    </b:Author>
    <b:RefOrder>14</b:RefOrder>
  </b:Source>
  <b:Source>
    <b:Tag>Ilm11</b:Tag>
    <b:SourceType>Book</b:SourceType>
    <b:Guid>{48EC4D2B-80FE-41C1-AFA7-5AD5918C1280}</b:Guid>
    <b:Title>Expected Returns: An Investor's Guide to Harvesting Market Rewards</b:Title>
    <b:Year>2011</b:Year>
    <b:Author>
      <b:Author>
        <b:NameList>
          <b:Person>
            <b:Last>Ilmanen</b:Last>
            <b:First>Antti</b:First>
          </b:Person>
        </b:NameList>
      </b:Author>
    </b:Author>
    <b:RefOrder>1</b:RefOrder>
  </b:Source>
  <b:Source>
    <b:Tag>Bac04</b:Tag>
    <b:SourceType>Book</b:SourceType>
    <b:Guid>{D52D9169-2DB3-477F-AADB-5B11651F6940}</b:Guid>
    <b:Title>Practical Portfolio Performance Measurement and Attribution</b:Title>
    <b:Year>2004</b:Year>
    <b:Author>
      <b:Author>
        <b:NameList>
          <b:Person>
            <b:Last>Bacon</b:Last>
            <b:First>Carl</b:First>
          </b:Person>
        </b:NameList>
      </b:Author>
    </b:Author>
    <b:RefOrder>3</b:RefOrder>
  </b:Source>
  <b:Source>
    <b:Tag>Mar89</b:Tag>
    <b:SourceType>Book</b:SourceType>
    <b:Guid>{94D2DBBF-CD8F-4445-A854-1E42908445FA}</b:Guid>
    <b:Title>The Investor's Guide to Fidelity Funds</b:Title>
    <b:Year>1989</b:Year>
    <b:Author>
      <b:Author>
        <b:NameList>
          <b:Person>
            <b:Last>Martin</b:Last>
            <b:First>Peter</b:First>
            <b:Middle>G.</b:Middle>
          </b:Person>
          <b:Person>
            <b:Last>McCann</b:Last>
            <b:First>Byron</b:First>
            <b:Middle>B.</b:Middle>
          </b:Person>
        </b:NameList>
      </b:Author>
    </b:Author>
    <b:RefOrder>4</b:RefOrder>
  </b:Source>
  <b:Source>
    <b:Tag>Cov13</b:Tag>
    <b:SourceType>Book</b:SourceType>
    <b:Guid>{18595AE1-F640-4E48-93CA-5A22FA4AD500}</b:Guid>
    <b:Title>Trend Following</b:Title>
    <b:Year>2013</b:Year>
    <b:Author>
      <b:Author>
        <b:NameList>
          <b:Person>
            <b:Last>Covel</b:Last>
            <b:Middle>W.</b:Middle>
            <b:First>Michael</b:First>
          </b:Person>
        </b:NameList>
      </b:Author>
    </b:Author>
    <b:RefOrder>8</b:RefOrder>
  </b:Source>
  <b:Source>
    <b:Tag>Fab07</b:Tag>
    <b:SourceType>JournalArticle</b:SourceType>
    <b:Guid>{F1F55A16-AC3E-4CDC-8250-FD802C58D6F6}</b:Guid>
    <b:Title>A Quantitative Approach to Tactical Asset Allocation</b:Title>
    <b:Year>2007</b:Year>
    <b:Author>
      <b:Author>
        <b:NameList>
          <b:Person>
            <b:Last>Faber</b:Last>
            <b:Middle>T.</b:Middle>
            <b:First>Mebane</b:First>
          </b:Person>
        </b:NameList>
      </b:Author>
    </b:Author>
    <b:JournalName>The Journal of Wealth Management</b:JournalName>
    <b:Pages>69-79</b:Pages>
    <b:Issue>Spring</b:Issue>
    <b:RefOrder>9</b:RefOrder>
  </b:Source>
  <b:Source>
    <b:Tag>Gor04</b:Tag>
    <b:SourceType>JournalArticle</b:SourceType>
    <b:Guid>{E46C128C-BAEA-4476-961B-A8700A315E0E}</b:Guid>
    <b:Title>Facts and Fantasies about Commodity Futures</b:Title>
    <b:JournalName>Yale ICF Working Paper No. 04-20</b:JournalName>
    <b:Year>2004</b:Year>
    <b:Author>
      <b:Author>
        <b:NameList>
          <b:Person>
            <b:Last>Gorton</b:Last>
            <b:First>Gary</b:First>
          </b:Person>
          <b:Person>
            <b:Last>Rouwenhorst</b:Last>
            <b:First>K. Geert </b:First>
          </b:Person>
        </b:NameList>
      </b:Author>
    </b:Author>
    <b:RefOrder>10</b:RefOrder>
  </b:Source>
  <b:Source>
    <b:Tag>Ibb06</b:Tag>
    <b:SourceType>Report</b:SourceType>
    <b:Guid>{B5BDDF0B-A018-48D0-A33E-4A06BB013F8F}</b:Guid>
    <b:Author>
      <b:Author>
        <b:Corporate>Ibbotson Associates</b:Corporate>
      </b:Author>
    </b:Author>
    <b:Title>Strategic Asset Allocation and Commodities</b:Title>
    <b:Year>2006</b:Year>
    <b:Publisher>PIMCO</b:Publisher>
    <b:RefOrder>11</b:RefOrder>
  </b:Source>
  <b:Source>
    <b:Tag>Erb06</b:Tag>
    <b:SourceType>JournalArticle</b:SourceType>
    <b:Guid>{2B7D19E3-2EAD-4F6F-A9A7-CDECD4CF5F95}</b:Guid>
    <b:Title>The Strategic and Tactical Value of Commodity Futures</b:Title>
    <b:Year>2006</b:Year>
    <b:JournalName>Financial Analysts Journal</b:JournalName>
    <b:Pages>69-97</b:Pages>
    <b:Volume>62</b:Volume>
    <b:Author>
      <b:Author>
        <b:NameList>
          <b:Person>
            <b:Last>Erb</b:Last>
            <b:Middle>B.</b:Middle>
            <b:First>Claude</b:First>
          </b:Person>
          <b:Person>
            <b:Last>Harvey</b:Last>
            <b:Middle>R.</b:Middle>
            <b:First>Campbell</b:First>
          </b:Person>
        </b:NameList>
      </b:Author>
    </b:Author>
    <b:RefOrder>12</b:RefOrder>
  </b:Source>
  <b:Source>
    <b:Tag>Ibb16</b:Tag>
    <b:SourceType>Book</b:SourceType>
    <b:Guid>{878D2012-32AD-4750-B649-3E8B0D09E8F0}</b:Guid>
    <b:Title>Stocks, Bonds, Bills and Inflation (SBBI) Yearbook</b:Title>
    <b:Year>2016</b:Year>
    <b:Author>
      <b:Author>
        <b:NameList>
          <b:Person>
            <b:Last>all</b:Last>
            <b:First>Ibbotson</b:First>
            <b:Middle>et</b:Middle>
          </b:Person>
        </b:NameList>
      </b:Author>
    </b:Author>
    <b:RefOrder>13</b:RefOrder>
  </b:Source>
</b:Sources>
</file>

<file path=customXml/itemProps1.xml><?xml version="1.0" encoding="utf-8"?>
<ds:datastoreItem xmlns:ds="http://schemas.openxmlformats.org/officeDocument/2006/customXml" ds:itemID="{E9B5FA50-C5D7-454B-A2E4-D6B570D8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48</Pages>
  <Words>11222</Words>
  <Characters>63968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16</cp:revision>
  <cp:lastPrinted>2017-03-22T13:45:00Z</cp:lastPrinted>
  <dcterms:created xsi:type="dcterms:W3CDTF">2017-03-26T16:42:00Z</dcterms:created>
  <dcterms:modified xsi:type="dcterms:W3CDTF">2017-03-28T16:58:00Z</dcterms:modified>
</cp:coreProperties>
</file>