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35BD" w:rsidRDefault="00CD35BD" w:rsidP="00CD35BD">
      <w:pPr>
        <w:pStyle w:val="Title"/>
        <w:jc w:val="center"/>
      </w:pPr>
      <w:r>
        <w:t>Market Timing Tactical Asset Allocation</w:t>
      </w:r>
    </w:p>
    <w:p w:rsidR="00CD35BD" w:rsidRDefault="00CD35BD" w:rsidP="00CD35BD">
      <w:pPr>
        <w:jc w:val="center"/>
      </w:pPr>
    </w:p>
    <w:p w:rsidR="00CD35BD" w:rsidRDefault="00CD35BD" w:rsidP="00CD35BD">
      <w:pPr>
        <w:jc w:val="center"/>
      </w:pPr>
      <w:r>
        <w:t>INSEAD Masters in Finance</w:t>
      </w:r>
      <w:r w:rsidR="00AE76CF">
        <w:t xml:space="preserve"> (MFIN17M)</w:t>
      </w:r>
      <w:r>
        <w:t xml:space="preserve"> – </w:t>
      </w:r>
      <w:r w:rsidR="007B058D" w:rsidRPr="007B058D">
        <w:rPr>
          <w:highlight w:val="red"/>
        </w:rPr>
        <w:t>DRAFT</w:t>
      </w:r>
      <w:r w:rsidR="007B058D">
        <w:t xml:space="preserve"> </w:t>
      </w:r>
      <w:r>
        <w:t>Master Project</w:t>
      </w:r>
    </w:p>
    <w:p w:rsidR="00CD35BD" w:rsidRDefault="00CD35BD" w:rsidP="00CD35BD">
      <w:pPr>
        <w:pBdr>
          <w:bottom w:val="single" w:sz="6" w:space="1" w:color="auto"/>
        </w:pBdr>
        <w:jc w:val="center"/>
      </w:pPr>
      <w:r w:rsidRPr="00CD35BD">
        <w:rPr>
          <w:b/>
        </w:rPr>
        <w:t>Cameron Allan McLean</w:t>
      </w:r>
      <w:r>
        <w:br/>
        <w:t>cameron.mclean@insead.edu</w:t>
      </w:r>
    </w:p>
    <w:p w:rsidR="00CD35BD" w:rsidRDefault="00CD35BD" w:rsidP="00CD35BD">
      <w:pPr>
        <w:pBdr>
          <w:bottom w:val="single" w:sz="6" w:space="1" w:color="auto"/>
        </w:pBdr>
        <w:jc w:val="center"/>
      </w:pPr>
      <w:r>
        <w:fldChar w:fldCharType="begin"/>
      </w:r>
      <w:r>
        <w:instrText xml:space="preserve"> DATE  \@ "MMMM yyyy" </w:instrText>
      </w:r>
      <w:r>
        <w:fldChar w:fldCharType="separate"/>
      </w:r>
      <w:r w:rsidR="0073059B">
        <w:rPr>
          <w:noProof/>
        </w:rPr>
        <w:t>March 2017</w:t>
      </w:r>
      <w:r>
        <w:fldChar w:fldCharType="end"/>
      </w:r>
    </w:p>
    <w:p w:rsidR="00CD35BD" w:rsidRDefault="00CD35BD" w:rsidP="00CD35BD">
      <w:pPr>
        <w:pBdr>
          <w:bottom w:val="single" w:sz="6" w:space="1" w:color="auto"/>
        </w:pBdr>
        <w:jc w:val="center"/>
      </w:pPr>
    </w:p>
    <w:p w:rsidR="00CD35BD" w:rsidRDefault="00CD35BD" w:rsidP="00CD35BD">
      <w:pPr>
        <w:jc w:val="center"/>
      </w:pPr>
      <w:r>
        <w:t>ABSTRACT</w:t>
      </w:r>
    </w:p>
    <w:p w:rsidR="0058101D" w:rsidRDefault="0058101D">
      <w:r>
        <w:t xml:space="preserve">In 2006-2013 Mebane Faber released papers outlining a quantitative approach to tactical asset allocation that proved to improve risk adjusted returns across various </w:t>
      </w:r>
      <w:r w:rsidR="0006019A">
        <w:t>asset classes. In this paper I revis</w:t>
      </w:r>
      <w:r w:rsidR="001579FA">
        <w:t>i</w:t>
      </w:r>
      <w:r w:rsidR="0006019A">
        <w:t xml:space="preserve">t </w:t>
      </w:r>
      <w:r>
        <w:t>Faber</w:t>
      </w:r>
      <w:r w:rsidR="0006019A">
        <w:t>’s papers, replicate his</w:t>
      </w:r>
      <w:r>
        <w:t xml:space="preserve"> model</w:t>
      </w:r>
      <w:r w:rsidR="0006019A">
        <w:t xml:space="preserve"> with updated data and </w:t>
      </w:r>
      <w:r>
        <w:t xml:space="preserve">apply the same </w:t>
      </w:r>
      <w:r w:rsidR="003F23CE">
        <w:t xml:space="preserve">quantitative </w:t>
      </w:r>
      <w:r>
        <w:t>method on other asse</w:t>
      </w:r>
      <w:r w:rsidR="00AE76CF">
        <w:t>t class mixes</w:t>
      </w:r>
      <w:r w:rsidR="003F23CE">
        <w:t xml:space="preserve"> to see if his observations hold true</w:t>
      </w:r>
      <w:r w:rsidR="00AE76CF">
        <w:t xml:space="preserve">. I </w:t>
      </w:r>
      <w:r w:rsidR="003F23CE">
        <w:t xml:space="preserve">then </w:t>
      </w:r>
      <w:r w:rsidR="00AE76CF">
        <w:t>analyse practical issues for both institutional and retail investors using this approach before researching topical ideas related to the original research</w:t>
      </w:r>
      <w:r w:rsidR="001579FA">
        <w:t xml:space="preserve"> and seeing if I can improve the results using other common trend following strategies</w:t>
      </w:r>
      <w:r w:rsidR="00AE76CF">
        <w:t>.</w:t>
      </w:r>
      <w:r w:rsidR="00024D5E">
        <w:t xml:space="preserve"> </w:t>
      </w:r>
      <w:r w:rsidR="00024D5E" w:rsidRPr="00024D5E">
        <w:rPr>
          <w:highlight w:val="yellow"/>
        </w:rPr>
        <w:t>Rewrite at end</w:t>
      </w:r>
    </w:p>
    <w:p w:rsidR="0058101D" w:rsidRDefault="0058101D"/>
    <w:p w:rsidR="0058101D" w:rsidRDefault="0058101D"/>
    <w:p w:rsidR="0058101D" w:rsidRDefault="0058101D"/>
    <w:p w:rsidR="0058101D" w:rsidRDefault="0058101D"/>
    <w:p w:rsidR="0058101D" w:rsidRDefault="0058101D"/>
    <w:p w:rsidR="0058101D" w:rsidRDefault="0058101D"/>
    <w:p w:rsidR="0058101D" w:rsidRDefault="0058101D"/>
    <w:p w:rsidR="0058101D" w:rsidRDefault="0058101D"/>
    <w:p w:rsidR="0058101D" w:rsidRDefault="0058101D"/>
    <w:p w:rsidR="00CD35BD" w:rsidRDefault="00CD35BD" w:rsidP="00CD35BD">
      <w:pPr>
        <w:jc w:val="center"/>
      </w:pPr>
      <w:r>
        <w:t>Copyright Cameron Allan McLean</w:t>
      </w:r>
    </w:p>
    <w:p w:rsidR="00CD35BD" w:rsidRDefault="00CD35BD">
      <w:r>
        <w:br w:type="page"/>
      </w:r>
    </w:p>
    <w:sdt>
      <w:sdtPr>
        <w:rPr>
          <w:rFonts w:asciiTheme="minorHAnsi" w:eastAsiaTheme="minorHAnsi" w:hAnsiTheme="minorHAnsi" w:cstheme="minorBidi"/>
          <w:color w:val="auto"/>
          <w:sz w:val="22"/>
          <w:szCs w:val="22"/>
          <w:lang w:val="en-AU"/>
        </w:rPr>
        <w:id w:val="1460068872"/>
        <w:docPartObj>
          <w:docPartGallery w:val="Table of Contents"/>
          <w:docPartUnique/>
        </w:docPartObj>
      </w:sdtPr>
      <w:sdtEndPr>
        <w:rPr>
          <w:b/>
          <w:bCs/>
          <w:noProof/>
        </w:rPr>
      </w:sdtEndPr>
      <w:sdtContent>
        <w:p w:rsidR="0032524B" w:rsidRDefault="0032524B">
          <w:pPr>
            <w:pStyle w:val="TOCHeading"/>
          </w:pPr>
          <w:r>
            <w:t>Contents</w:t>
          </w:r>
        </w:p>
        <w:p w:rsidR="00024D5E" w:rsidRDefault="0032524B">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475478000" w:history="1">
            <w:r w:rsidR="00024D5E" w:rsidRPr="00953B7B">
              <w:rPr>
                <w:rStyle w:val="Hyperlink"/>
                <w:noProof/>
              </w:rPr>
              <w:t>List of Figures and Tables</w:t>
            </w:r>
            <w:r w:rsidR="00024D5E">
              <w:rPr>
                <w:noProof/>
                <w:webHidden/>
              </w:rPr>
              <w:tab/>
            </w:r>
            <w:r w:rsidR="00024D5E">
              <w:rPr>
                <w:noProof/>
                <w:webHidden/>
              </w:rPr>
              <w:fldChar w:fldCharType="begin"/>
            </w:r>
            <w:r w:rsidR="00024D5E">
              <w:rPr>
                <w:noProof/>
                <w:webHidden/>
              </w:rPr>
              <w:instrText xml:space="preserve"> PAGEREF _Toc475478000 \h </w:instrText>
            </w:r>
            <w:r w:rsidR="00024D5E">
              <w:rPr>
                <w:noProof/>
                <w:webHidden/>
              </w:rPr>
            </w:r>
            <w:r w:rsidR="00024D5E">
              <w:rPr>
                <w:noProof/>
                <w:webHidden/>
              </w:rPr>
              <w:fldChar w:fldCharType="separate"/>
            </w:r>
            <w:r w:rsidR="00024D5E">
              <w:rPr>
                <w:noProof/>
                <w:webHidden/>
              </w:rPr>
              <w:t>4</w:t>
            </w:r>
            <w:r w:rsidR="00024D5E">
              <w:rPr>
                <w:noProof/>
                <w:webHidden/>
              </w:rPr>
              <w:fldChar w:fldCharType="end"/>
            </w:r>
          </w:hyperlink>
        </w:p>
        <w:p w:rsidR="00024D5E" w:rsidRDefault="0073059B">
          <w:pPr>
            <w:pStyle w:val="TOC1"/>
            <w:tabs>
              <w:tab w:val="right" w:leader="dot" w:pos="9016"/>
            </w:tabs>
            <w:rPr>
              <w:rFonts w:eastAsiaTheme="minorEastAsia"/>
              <w:noProof/>
              <w:lang w:eastAsia="en-AU"/>
            </w:rPr>
          </w:pPr>
          <w:hyperlink w:anchor="_Toc475478001" w:history="1">
            <w:r w:rsidR="00024D5E" w:rsidRPr="00953B7B">
              <w:rPr>
                <w:rStyle w:val="Hyperlink"/>
                <w:noProof/>
              </w:rPr>
              <w:t>Introduction</w:t>
            </w:r>
            <w:r w:rsidR="00024D5E">
              <w:rPr>
                <w:noProof/>
                <w:webHidden/>
              </w:rPr>
              <w:tab/>
            </w:r>
            <w:r w:rsidR="00024D5E">
              <w:rPr>
                <w:noProof/>
                <w:webHidden/>
              </w:rPr>
              <w:fldChar w:fldCharType="begin"/>
            </w:r>
            <w:r w:rsidR="00024D5E">
              <w:rPr>
                <w:noProof/>
                <w:webHidden/>
              </w:rPr>
              <w:instrText xml:space="preserve"> PAGEREF _Toc475478001 \h </w:instrText>
            </w:r>
            <w:r w:rsidR="00024D5E">
              <w:rPr>
                <w:noProof/>
                <w:webHidden/>
              </w:rPr>
            </w:r>
            <w:r w:rsidR="00024D5E">
              <w:rPr>
                <w:noProof/>
                <w:webHidden/>
              </w:rPr>
              <w:fldChar w:fldCharType="separate"/>
            </w:r>
            <w:r w:rsidR="00024D5E">
              <w:rPr>
                <w:noProof/>
                <w:webHidden/>
              </w:rPr>
              <w:t>4</w:t>
            </w:r>
            <w:r w:rsidR="00024D5E">
              <w:rPr>
                <w:noProof/>
                <w:webHidden/>
              </w:rPr>
              <w:fldChar w:fldCharType="end"/>
            </w:r>
          </w:hyperlink>
        </w:p>
        <w:p w:rsidR="00024D5E" w:rsidRDefault="0073059B">
          <w:pPr>
            <w:pStyle w:val="TOC1"/>
            <w:tabs>
              <w:tab w:val="right" w:leader="dot" w:pos="9016"/>
            </w:tabs>
            <w:rPr>
              <w:rFonts w:eastAsiaTheme="minorEastAsia"/>
              <w:noProof/>
              <w:lang w:eastAsia="en-AU"/>
            </w:rPr>
          </w:pPr>
          <w:hyperlink w:anchor="_Toc475478002" w:history="1">
            <w:r w:rsidR="00024D5E" w:rsidRPr="00953B7B">
              <w:rPr>
                <w:rStyle w:val="Hyperlink"/>
                <w:noProof/>
              </w:rPr>
              <w:t>Literature review</w:t>
            </w:r>
            <w:r w:rsidR="00024D5E">
              <w:rPr>
                <w:noProof/>
                <w:webHidden/>
              </w:rPr>
              <w:tab/>
            </w:r>
            <w:r w:rsidR="00024D5E">
              <w:rPr>
                <w:noProof/>
                <w:webHidden/>
              </w:rPr>
              <w:fldChar w:fldCharType="begin"/>
            </w:r>
            <w:r w:rsidR="00024D5E">
              <w:rPr>
                <w:noProof/>
                <w:webHidden/>
              </w:rPr>
              <w:instrText xml:space="preserve"> PAGEREF _Toc475478002 \h </w:instrText>
            </w:r>
            <w:r w:rsidR="00024D5E">
              <w:rPr>
                <w:noProof/>
                <w:webHidden/>
              </w:rPr>
            </w:r>
            <w:r w:rsidR="00024D5E">
              <w:rPr>
                <w:noProof/>
                <w:webHidden/>
              </w:rPr>
              <w:fldChar w:fldCharType="separate"/>
            </w:r>
            <w:r w:rsidR="00024D5E">
              <w:rPr>
                <w:noProof/>
                <w:webHidden/>
              </w:rPr>
              <w:t>4</w:t>
            </w:r>
            <w:r w:rsidR="00024D5E">
              <w:rPr>
                <w:noProof/>
                <w:webHidden/>
              </w:rPr>
              <w:fldChar w:fldCharType="end"/>
            </w:r>
          </w:hyperlink>
        </w:p>
        <w:p w:rsidR="00024D5E" w:rsidRDefault="0073059B">
          <w:pPr>
            <w:pStyle w:val="TOC1"/>
            <w:tabs>
              <w:tab w:val="right" w:leader="dot" w:pos="9016"/>
            </w:tabs>
            <w:rPr>
              <w:rFonts w:eastAsiaTheme="minorEastAsia"/>
              <w:noProof/>
              <w:lang w:eastAsia="en-AU"/>
            </w:rPr>
          </w:pPr>
          <w:hyperlink w:anchor="_Toc475478003" w:history="1">
            <w:r w:rsidR="00024D5E" w:rsidRPr="00953B7B">
              <w:rPr>
                <w:rStyle w:val="Hyperlink"/>
                <w:noProof/>
              </w:rPr>
              <w:t>Replication of Faber’s model</w:t>
            </w:r>
            <w:r w:rsidR="00024D5E">
              <w:rPr>
                <w:noProof/>
                <w:webHidden/>
              </w:rPr>
              <w:tab/>
            </w:r>
            <w:r w:rsidR="00024D5E">
              <w:rPr>
                <w:noProof/>
                <w:webHidden/>
              </w:rPr>
              <w:fldChar w:fldCharType="begin"/>
            </w:r>
            <w:r w:rsidR="00024D5E">
              <w:rPr>
                <w:noProof/>
                <w:webHidden/>
              </w:rPr>
              <w:instrText xml:space="preserve"> PAGEREF _Toc475478003 \h </w:instrText>
            </w:r>
            <w:r w:rsidR="00024D5E">
              <w:rPr>
                <w:noProof/>
                <w:webHidden/>
              </w:rPr>
            </w:r>
            <w:r w:rsidR="00024D5E">
              <w:rPr>
                <w:noProof/>
                <w:webHidden/>
              </w:rPr>
              <w:fldChar w:fldCharType="separate"/>
            </w:r>
            <w:r w:rsidR="00024D5E">
              <w:rPr>
                <w:noProof/>
                <w:webHidden/>
              </w:rPr>
              <w:t>4</w:t>
            </w:r>
            <w:r w:rsidR="00024D5E">
              <w:rPr>
                <w:noProof/>
                <w:webHidden/>
              </w:rPr>
              <w:fldChar w:fldCharType="end"/>
            </w:r>
          </w:hyperlink>
        </w:p>
        <w:p w:rsidR="00024D5E" w:rsidRDefault="0073059B">
          <w:pPr>
            <w:pStyle w:val="TOC2"/>
            <w:tabs>
              <w:tab w:val="right" w:leader="dot" w:pos="9016"/>
            </w:tabs>
            <w:rPr>
              <w:rFonts w:eastAsiaTheme="minorEastAsia"/>
              <w:noProof/>
              <w:lang w:eastAsia="en-AU"/>
            </w:rPr>
          </w:pPr>
          <w:hyperlink w:anchor="_Toc475478004" w:history="1">
            <w:r w:rsidR="00024D5E" w:rsidRPr="00953B7B">
              <w:rPr>
                <w:rStyle w:val="Hyperlink"/>
                <w:noProof/>
              </w:rPr>
              <w:t>Summary of the papers</w:t>
            </w:r>
            <w:r w:rsidR="00024D5E">
              <w:rPr>
                <w:noProof/>
                <w:webHidden/>
              </w:rPr>
              <w:tab/>
            </w:r>
            <w:r w:rsidR="00024D5E">
              <w:rPr>
                <w:noProof/>
                <w:webHidden/>
              </w:rPr>
              <w:fldChar w:fldCharType="begin"/>
            </w:r>
            <w:r w:rsidR="00024D5E">
              <w:rPr>
                <w:noProof/>
                <w:webHidden/>
              </w:rPr>
              <w:instrText xml:space="preserve"> PAGEREF _Toc475478004 \h </w:instrText>
            </w:r>
            <w:r w:rsidR="00024D5E">
              <w:rPr>
                <w:noProof/>
                <w:webHidden/>
              </w:rPr>
            </w:r>
            <w:r w:rsidR="00024D5E">
              <w:rPr>
                <w:noProof/>
                <w:webHidden/>
              </w:rPr>
              <w:fldChar w:fldCharType="separate"/>
            </w:r>
            <w:r w:rsidR="00024D5E">
              <w:rPr>
                <w:noProof/>
                <w:webHidden/>
              </w:rPr>
              <w:t>4</w:t>
            </w:r>
            <w:r w:rsidR="00024D5E">
              <w:rPr>
                <w:noProof/>
                <w:webHidden/>
              </w:rPr>
              <w:fldChar w:fldCharType="end"/>
            </w:r>
          </w:hyperlink>
        </w:p>
        <w:p w:rsidR="00024D5E" w:rsidRDefault="0073059B">
          <w:pPr>
            <w:pStyle w:val="TOC2"/>
            <w:tabs>
              <w:tab w:val="right" w:leader="dot" w:pos="9016"/>
            </w:tabs>
            <w:rPr>
              <w:rFonts w:eastAsiaTheme="minorEastAsia"/>
              <w:noProof/>
              <w:lang w:eastAsia="en-AU"/>
            </w:rPr>
          </w:pPr>
          <w:hyperlink w:anchor="_Toc475478005" w:history="1">
            <w:r w:rsidR="00024D5E" w:rsidRPr="00953B7B">
              <w:rPr>
                <w:rStyle w:val="Hyperlink"/>
                <w:noProof/>
              </w:rPr>
              <w:t>Data used</w:t>
            </w:r>
            <w:r w:rsidR="00024D5E">
              <w:rPr>
                <w:noProof/>
                <w:webHidden/>
              </w:rPr>
              <w:tab/>
            </w:r>
            <w:r w:rsidR="00024D5E">
              <w:rPr>
                <w:noProof/>
                <w:webHidden/>
              </w:rPr>
              <w:fldChar w:fldCharType="begin"/>
            </w:r>
            <w:r w:rsidR="00024D5E">
              <w:rPr>
                <w:noProof/>
                <w:webHidden/>
              </w:rPr>
              <w:instrText xml:space="preserve"> PAGEREF _Toc475478005 \h </w:instrText>
            </w:r>
            <w:r w:rsidR="00024D5E">
              <w:rPr>
                <w:noProof/>
                <w:webHidden/>
              </w:rPr>
            </w:r>
            <w:r w:rsidR="00024D5E">
              <w:rPr>
                <w:noProof/>
                <w:webHidden/>
              </w:rPr>
              <w:fldChar w:fldCharType="separate"/>
            </w:r>
            <w:r w:rsidR="00024D5E">
              <w:rPr>
                <w:noProof/>
                <w:webHidden/>
              </w:rPr>
              <w:t>4</w:t>
            </w:r>
            <w:r w:rsidR="00024D5E">
              <w:rPr>
                <w:noProof/>
                <w:webHidden/>
              </w:rPr>
              <w:fldChar w:fldCharType="end"/>
            </w:r>
          </w:hyperlink>
        </w:p>
        <w:p w:rsidR="00024D5E" w:rsidRDefault="0073059B">
          <w:pPr>
            <w:pStyle w:val="TOC2"/>
            <w:tabs>
              <w:tab w:val="right" w:leader="dot" w:pos="9016"/>
            </w:tabs>
            <w:rPr>
              <w:rFonts w:eastAsiaTheme="minorEastAsia"/>
              <w:noProof/>
              <w:lang w:eastAsia="en-AU"/>
            </w:rPr>
          </w:pPr>
          <w:hyperlink w:anchor="_Toc475478006" w:history="1">
            <w:r w:rsidR="00024D5E" w:rsidRPr="00953B7B">
              <w:rPr>
                <w:rStyle w:val="Hyperlink"/>
                <w:noProof/>
              </w:rPr>
              <w:t>Replication of 1973-2012 research</w:t>
            </w:r>
            <w:r w:rsidR="00024D5E">
              <w:rPr>
                <w:noProof/>
                <w:webHidden/>
              </w:rPr>
              <w:tab/>
            </w:r>
            <w:r w:rsidR="00024D5E">
              <w:rPr>
                <w:noProof/>
                <w:webHidden/>
              </w:rPr>
              <w:fldChar w:fldCharType="begin"/>
            </w:r>
            <w:r w:rsidR="00024D5E">
              <w:rPr>
                <w:noProof/>
                <w:webHidden/>
              </w:rPr>
              <w:instrText xml:space="preserve"> PAGEREF _Toc475478006 \h </w:instrText>
            </w:r>
            <w:r w:rsidR="00024D5E">
              <w:rPr>
                <w:noProof/>
                <w:webHidden/>
              </w:rPr>
            </w:r>
            <w:r w:rsidR="00024D5E">
              <w:rPr>
                <w:noProof/>
                <w:webHidden/>
              </w:rPr>
              <w:fldChar w:fldCharType="separate"/>
            </w:r>
            <w:r w:rsidR="00024D5E">
              <w:rPr>
                <w:noProof/>
                <w:webHidden/>
              </w:rPr>
              <w:t>5</w:t>
            </w:r>
            <w:r w:rsidR="00024D5E">
              <w:rPr>
                <w:noProof/>
                <w:webHidden/>
              </w:rPr>
              <w:fldChar w:fldCharType="end"/>
            </w:r>
          </w:hyperlink>
        </w:p>
        <w:p w:rsidR="00024D5E" w:rsidRDefault="0073059B">
          <w:pPr>
            <w:pStyle w:val="TOC3"/>
            <w:tabs>
              <w:tab w:val="right" w:leader="dot" w:pos="9016"/>
            </w:tabs>
            <w:rPr>
              <w:rFonts w:eastAsiaTheme="minorEastAsia"/>
              <w:noProof/>
              <w:lang w:eastAsia="en-AU"/>
            </w:rPr>
          </w:pPr>
          <w:hyperlink w:anchor="_Toc475478007" w:history="1">
            <w:r w:rsidR="00024D5E" w:rsidRPr="00953B7B">
              <w:rPr>
                <w:rStyle w:val="Hyperlink"/>
                <w:noProof/>
              </w:rPr>
              <w:t>Asset Returns</w:t>
            </w:r>
            <w:r w:rsidR="00024D5E">
              <w:rPr>
                <w:noProof/>
                <w:webHidden/>
              </w:rPr>
              <w:tab/>
            </w:r>
            <w:r w:rsidR="00024D5E">
              <w:rPr>
                <w:noProof/>
                <w:webHidden/>
              </w:rPr>
              <w:fldChar w:fldCharType="begin"/>
            </w:r>
            <w:r w:rsidR="00024D5E">
              <w:rPr>
                <w:noProof/>
                <w:webHidden/>
              </w:rPr>
              <w:instrText xml:space="preserve"> PAGEREF _Toc475478007 \h </w:instrText>
            </w:r>
            <w:r w:rsidR="00024D5E">
              <w:rPr>
                <w:noProof/>
                <w:webHidden/>
              </w:rPr>
            </w:r>
            <w:r w:rsidR="00024D5E">
              <w:rPr>
                <w:noProof/>
                <w:webHidden/>
              </w:rPr>
              <w:fldChar w:fldCharType="separate"/>
            </w:r>
            <w:r w:rsidR="00024D5E">
              <w:rPr>
                <w:noProof/>
                <w:webHidden/>
              </w:rPr>
              <w:t>5</w:t>
            </w:r>
            <w:r w:rsidR="00024D5E">
              <w:rPr>
                <w:noProof/>
                <w:webHidden/>
              </w:rPr>
              <w:fldChar w:fldCharType="end"/>
            </w:r>
          </w:hyperlink>
        </w:p>
        <w:p w:rsidR="00024D5E" w:rsidRDefault="0073059B">
          <w:pPr>
            <w:pStyle w:val="TOC3"/>
            <w:tabs>
              <w:tab w:val="right" w:leader="dot" w:pos="9016"/>
            </w:tabs>
            <w:rPr>
              <w:rFonts w:eastAsiaTheme="minorEastAsia"/>
              <w:noProof/>
              <w:lang w:eastAsia="en-AU"/>
            </w:rPr>
          </w:pPr>
          <w:hyperlink w:anchor="_Toc475478008" w:history="1">
            <w:r w:rsidR="00024D5E" w:rsidRPr="00953B7B">
              <w:rPr>
                <w:rStyle w:val="Hyperlink"/>
                <w:noProof/>
              </w:rPr>
              <w:t>Using the 10m simple moving average to manage risk</w:t>
            </w:r>
            <w:r w:rsidR="00024D5E">
              <w:rPr>
                <w:noProof/>
                <w:webHidden/>
              </w:rPr>
              <w:tab/>
            </w:r>
            <w:r w:rsidR="00024D5E">
              <w:rPr>
                <w:noProof/>
                <w:webHidden/>
              </w:rPr>
              <w:fldChar w:fldCharType="begin"/>
            </w:r>
            <w:r w:rsidR="00024D5E">
              <w:rPr>
                <w:noProof/>
                <w:webHidden/>
              </w:rPr>
              <w:instrText xml:space="preserve"> PAGEREF _Toc475478008 \h </w:instrText>
            </w:r>
            <w:r w:rsidR="00024D5E">
              <w:rPr>
                <w:noProof/>
                <w:webHidden/>
              </w:rPr>
            </w:r>
            <w:r w:rsidR="00024D5E">
              <w:rPr>
                <w:noProof/>
                <w:webHidden/>
              </w:rPr>
              <w:fldChar w:fldCharType="separate"/>
            </w:r>
            <w:r w:rsidR="00024D5E">
              <w:rPr>
                <w:noProof/>
                <w:webHidden/>
              </w:rPr>
              <w:t>6</w:t>
            </w:r>
            <w:r w:rsidR="00024D5E">
              <w:rPr>
                <w:noProof/>
                <w:webHidden/>
              </w:rPr>
              <w:fldChar w:fldCharType="end"/>
            </w:r>
          </w:hyperlink>
        </w:p>
        <w:p w:rsidR="00024D5E" w:rsidRDefault="0073059B">
          <w:pPr>
            <w:pStyle w:val="TOC3"/>
            <w:tabs>
              <w:tab w:val="right" w:leader="dot" w:pos="9016"/>
            </w:tabs>
            <w:rPr>
              <w:rFonts w:eastAsiaTheme="minorEastAsia"/>
              <w:noProof/>
              <w:lang w:eastAsia="en-AU"/>
            </w:rPr>
          </w:pPr>
          <w:hyperlink w:anchor="_Toc475478009" w:history="1">
            <w:r w:rsidR="00024D5E" w:rsidRPr="00953B7B">
              <w:rPr>
                <w:rStyle w:val="Hyperlink"/>
                <w:noProof/>
              </w:rPr>
              <w:t>Global tactical asset allocation</w:t>
            </w:r>
            <w:r w:rsidR="00024D5E">
              <w:rPr>
                <w:noProof/>
                <w:webHidden/>
              </w:rPr>
              <w:tab/>
            </w:r>
            <w:r w:rsidR="00024D5E">
              <w:rPr>
                <w:noProof/>
                <w:webHidden/>
              </w:rPr>
              <w:fldChar w:fldCharType="begin"/>
            </w:r>
            <w:r w:rsidR="00024D5E">
              <w:rPr>
                <w:noProof/>
                <w:webHidden/>
              </w:rPr>
              <w:instrText xml:space="preserve"> PAGEREF _Toc475478009 \h </w:instrText>
            </w:r>
            <w:r w:rsidR="00024D5E">
              <w:rPr>
                <w:noProof/>
                <w:webHidden/>
              </w:rPr>
            </w:r>
            <w:r w:rsidR="00024D5E">
              <w:rPr>
                <w:noProof/>
                <w:webHidden/>
              </w:rPr>
              <w:fldChar w:fldCharType="separate"/>
            </w:r>
            <w:r w:rsidR="00024D5E">
              <w:rPr>
                <w:noProof/>
                <w:webHidden/>
              </w:rPr>
              <w:t>7</w:t>
            </w:r>
            <w:r w:rsidR="00024D5E">
              <w:rPr>
                <w:noProof/>
                <w:webHidden/>
              </w:rPr>
              <w:fldChar w:fldCharType="end"/>
            </w:r>
          </w:hyperlink>
        </w:p>
        <w:p w:rsidR="00024D5E" w:rsidRDefault="0073059B">
          <w:pPr>
            <w:pStyle w:val="TOC2"/>
            <w:tabs>
              <w:tab w:val="right" w:leader="dot" w:pos="9016"/>
            </w:tabs>
            <w:rPr>
              <w:rFonts w:eastAsiaTheme="minorEastAsia"/>
              <w:noProof/>
              <w:lang w:eastAsia="en-AU"/>
            </w:rPr>
          </w:pPr>
          <w:hyperlink w:anchor="_Toc475478010" w:history="1">
            <w:r w:rsidR="00024D5E" w:rsidRPr="00953B7B">
              <w:rPr>
                <w:rStyle w:val="Hyperlink"/>
                <w:noProof/>
              </w:rPr>
              <w:t>Analysis of the results to determine whether the results are credit</w:t>
            </w:r>
            <w:r w:rsidR="00024D5E">
              <w:rPr>
                <w:noProof/>
                <w:webHidden/>
              </w:rPr>
              <w:tab/>
            </w:r>
            <w:r w:rsidR="00024D5E">
              <w:rPr>
                <w:noProof/>
                <w:webHidden/>
              </w:rPr>
              <w:fldChar w:fldCharType="begin"/>
            </w:r>
            <w:r w:rsidR="00024D5E">
              <w:rPr>
                <w:noProof/>
                <w:webHidden/>
              </w:rPr>
              <w:instrText xml:space="preserve"> PAGEREF _Toc475478010 \h </w:instrText>
            </w:r>
            <w:r w:rsidR="00024D5E">
              <w:rPr>
                <w:noProof/>
                <w:webHidden/>
              </w:rPr>
            </w:r>
            <w:r w:rsidR="00024D5E">
              <w:rPr>
                <w:noProof/>
                <w:webHidden/>
              </w:rPr>
              <w:fldChar w:fldCharType="separate"/>
            </w:r>
            <w:r w:rsidR="00024D5E">
              <w:rPr>
                <w:noProof/>
                <w:webHidden/>
              </w:rPr>
              <w:t>7</w:t>
            </w:r>
            <w:r w:rsidR="00024D5E">
              <w:rPr>
                <w:noProof/>
                <w:webHidden/>
              </w:rPr>
              <w:fldChar w:fldCharType="end"/>
            </w:r>
          </w:hyperlink>
        </w:p>
        <w:p w:rsidR="00024D5E" w:rsidRDefault="0073059B">
          <w:pPr>
            <w:pStyle w:val="TOC3"/>
            <w:tabs>
              <w:tab w:val="right" w:leader="dot" w:pos="9016"/>
            </w:tabs>
            <w:rPr>
              <w:rFonts w:eastAsiaTheme="minorEastAsia"/>
              <w:noProof/>
              <w:lang w:eastAsia="en-AU"/>
            </w:rPr>
          </w:pPr>
          <w:hyperlink w:anchor="_Toc475478011" w:history="1">
            <w:r w:rsidR="00024D5E" w:rsidRPr="00953B7B">
              <w:rPr>
                <w:rStyle w:val="Hyperlink"/>
                <w:noProof/>
              </w:rPr>
              <w:t>Key differences and explanations</w:t>
            </w:r>
            <w:r w:rsidR="00024D5E">
              <w:rPr>
                <w:noProof/>
                <w:webHidden/>
              </w:rPr>
              <w:tab/>
            </w:r>
            <w:r w:rsidR="00024D5E">
              <w:rPr>
                <w:noProof/>
                <w:webHidden/>
              </w:rPr>
              <w:fldChar w:fldCharType="begin"/>
            </w:r>
            <w:r w:rsidR="00024D5E">
              <w:rPr>
                <w:noProof/>
                <w:webHidden/>
              </w:rPr>
              <w:instrText xml:space="preserve"> PAGEREF _Toc475478011 \h </w:instrText>
            </w:r>
            <w:r w:rsidR="00024D5E">
              <w:rPr>
                <w:noProof/>
                <w:webHidden/>
              </w:rPr>
            </w:r>
            <w:r w:rsidR="00024D5E">
              <w:rPr>
                <w:noProof/>
                <w:webHidden/>
              </w:rPr>
              <w:fldChar w:fldCharType="separate"/>
            </w:r>
            <w:r w:rsidR="00024D5E">
              <w:rPr>
                <w:noProof/>
                <w:webHidden/>
              </w:rPr>
              <w:t>7</w:t>
            </w:r>
            <w:r w:rsidR="00024D5E">
              <w:rPr>
                <w:noProof/>
                <w:webHidden/>
              </w:rPr>
              <w:fldChar w:fldCharType="end"/>
            </w:r>
          </w:hyperlink>
        </w:p>
        <w:p w:rsidR="00024D5E" w:rsidRDefault="0073059B">
          <w:pPr>
            <w:pStyle w:val="TOC2"/>
            <w:tabs>
              <w:tab w:val="right" w:leader="dot" w:pos="9016"/>
            </w:tabs>
            <w:rPr>
              <w:rFonts w:eastAsiaTheme="minorEastAsia"/>
              <w:noProof/>
              <w:lang w:eastAsia="en-AU"/>
            </w:rPr>
          </w:pPr>
          <w:hyperlink w:anchor="_Toc475478012" w:history="1">
            <w:r w:rsidR="00024D5E" w:rsidRPr="00953B7B">
              <w:rPr>
                <w:rStyle w:val="Hyperlink"/>
                <w:noProof/>
              </w:rPr>
              <w:t>Extension to include 2012-2016</w:t>
            </w:r>
            <w:r w:rsidR="00024D5E">
              <w:rPr>
                <w:noProof/>
                <w:webHidden/>
              </w:rPr>
              <w:tab/>
            </w:r>
            <w:r w:rsidR="00024D5E">
              <w:rPr>
                <w:noProof/>
                <w:webHidden/>
              </w:rPr>
              <w:fldChar w:fldCharType="begin"/>
            </w:r>
            <w:r w:rsidR="00024D5E">
              <w:rPr>
                <w:noProof/>
                <w:webHidden/>
              </w:rPr>
              <w:instrText xml:space="preserve"> PAGEREF _Toc475478012 \h </w:instrText>
            </w:r>
            <w:r w:rsidR="00024D5E">
              <w:rPr>
                <w:noProof/>
                <w:webHidden/>
              </w:rPr>
            </w:r>
            <w:r w:rsidR="00024D5E">
              <w:rPr>
                <w:noProof/>
                <w:webHidden/>
              </w:rPr>
              <w:fldChar w:fldCharType="separate"/>
            </w:r>
            <w:r w:rsidR="00024D5E">
              <w:rPr>
                <w:noProof/>
                <w:webHidden/>
              </w:rPr>
              <w:t>7</w:t>
            </w:r>
            <w:r w:rsidR="00024D5E">
              <w:rPr>
                <w:noProof/>
                <w:webHidden/>
              </w:rPr>
              <w:fldChar w:fldCharType="end"/>
            </w:r>
          </w:hyperlink>
        </w:p>
        <w:p w:rsidR="00024D5E" w:rsidRDefault="0073059B">
          <w:pPr>
            <w:pStyle w:val="TOC2"/>
            <w:tabs>
              <w:tab w:val="right" w:leader="dot" w:pos="9016"/>
            </w:tabs>
            <w:rPr>
              <w:rFonts w:eastAsiaTheme="minorEastAsia"/>
              <w:noProof/>
              <w:lang w:eastAsia="en-AU"/>
            </w:rPr>
          </w:pPr>
          <w:hyperlink w:anchor="_Toc475478013" w:history="1">
            <w:r w:rsidR="00024D5E" w:rsidRPr="00953B7B">
              <w:rPr>
                <w:rStyle w:val="Hyperlink"/>
                <w:noProof/>
              </w:rPr>
              <w:t>Observations</w:t>
            </w:r>
            <w:r w:rsidR="00024D5E">
              <w:rPr>
                <w:noProof/>
                <w:webHidden/>
              </w:rPr>
              <w:tab/>
            </w:r>
            <w:r w:rsidR="00024D5E">
              <w:rPr>
                <w:noProof/>
                <w:webHidden/>
              </w:rPr>
              <w:fldChar w:fldCharType="begin"/>
            </w:r>
            <w:r w:rsidR="00024D5E">
              <w:rPr>
                <w:noProof/>
                <w:webHidden/>
              </w:rPr>
              <w:instrText xml:space="preserve"> PAGEREF _Toc475478013 \h </w:instrText>
            </w:r>
            <w:r w:rsidR="00024D5E">
              <w:rPr>
                <w:noProof/>
                <w:webHidden/>
              </w:rPr>
            </w:r>
            <w:r w:rsidR="00024D5E">
              <w:rPr>
                <w:noProof/>
                <w:webHidden/>
              </w:rPr>
              <w:fldChar w:fldCharType="separate"/>
            </w:r>
            <w:r w:rsidR="00024D5E">
              <w:rPr>
                <w:noProof/>
                <w:webHidden/>
              </w:rPr>
              <w:t>8</w:t>
            </w:r>
            <w:r w:rsidR="00024D5E">
              <w:rPr>
                <w:noProof/>
                <w:webHidden/>
              </w:rPr>
              <w:fldChar w:fldCharType="end"/>
            </w:r>
          </w:hyperlink>
        </w:p>
        <w:p w:rsidR="00024D5E" w:rsidRDefault="0073059B">
          <w:pPr>
            <w:pStyle w:val="TOC2"/>
            <w:tabs>
              <w:tab w:val="right" w:leader="dot" w:pos="9016"/>
            </w:tabs>
            <w:rPr>
              <w:rFonts w:eastAsiaTheme="minorEastAsia"/>
              <w:noProof/>
              <w:lang w:eastAsia="en-AU"/>
            </w:rPr>
          </w:pPr>
          <w:hyperlink w:anchor="_Toc475478014" w:history="1">
            <w:r w:rsidR="00024D5E" w:rsidRPr="00953B7B">
              <w:rPr>
                <w:rStyle w:val="Hyperlink"/>
                <w:noProof/>
              </w:rPr>
              <w:t>The model applied to a typical SA Asset Allocation</w:t>
            </w:r>
            <w:r w:rsidR="00024D5E">
              <w:rPr>
                <w:noProof/>
                <w:webHidden/>
              </w:rPr>
              <w:tab/>
            </w:r>
            <w:r w:rsidR="00024D5E">
              <w:rPr>
                <w:noProof/>
                <w:webHidden/>
              </w:rPr>
              <w:fldChar w:fldCharType="begin"/>
            </w:r>
            <w:r w:rsidR="00024D5E">
              <w:rPr>
                <w:noProof/>
                <w:webHidden/>
              </w:rPr>
              <w:instrText xml:space="preserve"> PAGEREF _Toc475478014 \h </w:instrText>
            </w:r>
            <w:r w:rsidR="00024D5E">
              <w:rPr>
                <w:noProof/>
                <w:webHidden/>
              </w:rPr>
            </w:r>
            <w:r w:rsidR="00024D5E">
              <w:rPr>
                <w:noProof/>
                <w:webHidden/>
              </w:rPr>
              <w:fldChar w:fldCharType="separate"/>
            </w:r>
            <w:r w:rsidR="00024D5E">
              <w:rPr>
                <w:noProof/>
                <w:webHidden/>
              </w:rPr>
              <w:t>8</w:t>
            </w:r>
            <w:r w:rsidR="00024D5E">
              <w:rPr>
                <w:noProof/>
                <w:webHidden/>
              </w:rPr>
              <w:fldChar w:fldCharType="end"/>
            </w:r>
          </w:hyperlink>
        </w:p>
        <w:p w:rsidR="00024D5E" w:rsidRDefault="0073059B">
          <w:pPr>
            <w:pStyle w:val="TOC2"/>
            <w:tabs>
              <w:tab w:val="right" w:leader="dot" w:pos="9016"/>
            </w:tabs>
            <w:rPr>
              <w:rFonts w:eastAsiaTheme="minorEastAsia"/>
              <w:noProof/>
              <w:lang w:eastAsia="en-AU"/>
            </w:rPr>
          </w:pPr>
          <w:hyperlink w:anchor="_Toc475478015" w:history="1">
            <w:r w:rsidR="00024D5E" w:rsidRPr="00953B7B">
              <w:rPr>
                <w:rStyle w:val="Hyperlink"/>
                <w:noProof/>
              </w:rPr>
              <w:t>The model applied to a typical SA Asset Allocation</w:t>
            </w:r>
            <w:r w:rsidR="00024D5E">
              <w:rPr>
                <w:noProof/>
                <w:webHidden/>
              </w:rPr>
              <w:tab/>
            </w:r>
            <w:r w:rsidR="00024D5E">
              <w:rPr>
                <w:noProof/>
                <w:webHidden/>
              </w:rPr>
              <w:fldChar w:fldCharType="begin"/>
            </w:r>
            <w:r w:rsidR="00024D5E">
              <w:rPr>
                <w:noProof/>
                <w:webHidden/>
              </w:rPr>
              <w:instrText xml:space="preserve"> PAGEREF _Toc475478015 \h </w:instrText>
            </w:r>
            <w:r w:rsidR="00024D5E">
              <w:rPr>
                <w:noProof/>
                <w:webHidden/>
              </w:rPr>
            </w:r>
            <w:r w:rsidR="00024D5E">
              <w:rPr>
                <w:noProof/>
                <w:webHidden/>
              </w:rPr>
              <w:fldChar w:fldCharType="separate"/>
            </w:r>
            <w:r w:rsidR="00024D5E">
              <w:rPr>
                <w:noProof/>
                <w:webHidden/>
              </w:rPr>
              <w:t>8</w:t>
            </w:r>
            <w:r w:rsidR="00024D5E">
              <w:rPr>
                <w:noProof/>
                <w:webHidden/>
              </w:rPr>
              <w:fldChar w:fldCharType="end"/>
            </w:r>
          </w:hyperlink>
        </w:p>
        <w:p w:rsidR="00024D5E" w:rsidRDefault="0073059B">
          <w:pPr>
            <w:pStyle w:val="TOC1"/>
            <w:tabs>
              <w:tab w:val="right" w:leader="dot" w:pos="9016"/>
            </w:tabs>
            <w:rPr>
              <w:rFonts w:eastAsiaTheme="minorEastAsia"/>
              <w:noProof/>
              <w:lang w:eastAsia="en-AU"/>
            </w:rPr>
          </w:pPr>
          <w:hyperlink w:anchor="_Toc475478016" w:history="1">
            <w:r w:rsidR="00024D5E" w:rsidRPr="00953B7B">
              <w:rPr>
                <w:rStyle w:val="Hyperlink"/>
                <w:noProof/>
              </w:rPr>
              <w:t>Diversification and Modern Portfolio Theory</w:t>
            </w:r>
            <w:r w:rsidR="00024D5E">
              <w:rPr>
                <w:noProof/>
                <w:webHidden/>
              </w:rPr>
              <w:tab/>
            </w:r>
            <w:r w:rsidR="00024D5E">
              <w:rPr>
                <w:noProof/>
                <w:webHidden/>
              </w:rPr>
              <w:fldChar w:fldCharType="begin"/>
            </w:r>
            <w:r w:rsidR="00024D5E">
              <w:rPr>
                <w:noProof/>
                <w:webHidden/>
              </w:rPr>
              <w:instrText xml:space="preserve"> PAGEREF _Toc475478016 \h </w:instrText>
            </w:r>
            <w:r w:rsidR="00024D5E">
              <w:rPr>
                <w:noProof/>
                <w:webHidden/>
              </w:rPr>
            </w:r>
            <w:r w:rsidR="00024D5E">
              <w:rPr>
                <w:noProof/>
                <w:webHidden/>
              </w:rPr>
              <w:fldChar w:fldCharType="separate"/>
            </w:r>
            <w:r w:rsidR="00024D5E">
              <w:rPr>
                <w:noProof/>
                <w:webHidden/>
              </w:rPr>
              <w:t>9</w:t>
            </w:r>
            <w:r w:rsidR="00024D5E">
              <w:rPr>
                <w:noProof/>
                <w:webHidden/>
              </w:rPr>
              <w:fldChar w:fldCharType="end"/>
            </w:r>
          </w:hyperlink>
        </w:p>
        <w:p w:rsidR="00024D5E" w:rsidRDefault="0073059B">
          <w:pPr>
            <w:pStyle w:val="TOC1"/>
            <w:tabs>
              <w:tab w:val="right" w:leader="dot" w:pos="9016"/>
            </w:tabs>
            <w:rPr>
              <w:rFonts w:eastAsiaTheme="minorEastAsia"/>
              <w:noProof/>
              <w:lang w:eastAsia="en-AU"/>
            </w:rPr>
          </w:pPr>
          <w:hyperlink w:anchor="_Toc475478017" w:history="1">
            <w:r w:rsidR="00024D5E" w:rsidRPr="00953B7B">
              <w:rPr>
                <w:rStyle w:val="Hyperlink"/>
                <w:noProof/>
              </w:rPr>
              <w:t>Observations of the Faber model</w:t>
            </w:r>
            <w:r w:rsidR="00024D5E">
              <w:rPr>
                <w:noProof/>
                <w:webHidden/>
              </w:rPr>
              <w:tab/>
            </w:r>
            <w:r w:rsidR="00024D5E">
              <w:rPr>
                <w:noProof/>
                <w:webHidden/>
              </w:rPr>
              <w:fldChar w:fldCharType="begin"/>
            </w:r>
            <w:r w:rsidR="00024D5E">
              <w:rPr>
                <w:noProof/>
                <w:webHidden/>
              </w:rPr>
              <w:instrText xml:space="preserve"> PAGEREF _Toc475478017 \h </w:instrText>
            </w:r>
            <w:r w:rsidR="00024D5E">
              <w:rPr>
                <w:noProof/>
                <w:webHidden/>
              </w:rPr>
            </w:r>
            <w:r w:rsidR="00024D5E">
              <w:rPr>
                <w:noProof/>
                <w:webHidden/>
              </w:rPr>
              <w:fldChar w:fldCharType="separate"/>
            </w:r>
            <w:r w:rsidR="00024D5E">
              <w:rPr>
                <w:noProof/>
                <w:webHidden/>
              </w:rPr>
              <w:t>10</w:t>
            </w:r>
            <w:r w:rsidR="00024D5E">
              <w:rPr>
                <w:noProof/>
                <w:webHidden/>
              </w:rPr>
              <w:fldChar w:fldCharType="end"/>
            </w:r>
          </w:hyperlink>
        </w:p>
        <w:p w:rsidR="00024D5E" w:rsidRDefault="0073059B">
          <w:pPr>
            <w:pStyle w:val="TOC2"/>
            <w:tabs>
              <w:tab w:val="right" w:leader="dot" w:pos="9016"/>
            </w:tabs>
            <w:rPr>
              <w:rFonts w:eastAsiaTheme="minorEastAsia"/>
              <w:noProof/>
              <w:lang w:eastAsia="en-AU"/>
            </w:rPr>
          </w:pPr>
          <w:hyperlink w:anchor="_Toc475478018" w:history="1">
            <w:r w:rsidR="00024D5E" w:rsidRPr="00953B7B">
              <w:rPr>
                <w:rStyle w:val="Hyperlink"/>
                <w:noProof/>
              </w:rPr>
              <w:t>Tail risk</w:t>
            </w:r>
            <w:r w:rsidR="00024D5E">
              <w:rPr>
                <w:noProof/>
                <w:webHidden/>
              </w:rPr>
              <w:tab/>
            </w:r>
            <w:r w:rsidR="00024D5E">
              <w:rPr>
                <w:noProof/>
                <w:webHidden/>
              </w:rPr>
              <w:fldChar w:fldCharType="begin"/>
            </w:r>
            <w:r w:rsidR="00024D5E">
              <w:rPr>
                <w:noProof/>
                <w:webHidden/>
              </w:rPr>
              <w:instrText xml:space="preserve"> PAGEREF _Toc475478018 \h </w:instrText>
            </w:r>
            <w:r w:rsidR="00024D5E">
              <w:rPr>
                <w:noProof/>
                <w:webHidden/>
              </w:rPr>
            </w:r>
            <w:r w:rsidR="00024D5E">
              <w:rPr>
                <w:noProof/>
                <w:webHidden/>
              </w:rPr>
              <w:fldChar w:fldCharType="separate"/>
            </w:r>
            <w:r w:rsidR="00024D5E">
              <w:rPr>
                <w:noProof/>
                <w:webHidden/>
              </w:rPr>
              <w:t>10</w:t>
            </w:r>
            <w:r w:rsidR="00024D5E">
              <w:rPr>
                <w:noProof/>
                <w:webHidden/>
              </w:rPr>
              <w:fldChar w:fldCharType="end"/>
            </w:r>
          </w:hyperlink>
        </w:p>
        <w:p w:rsidR="00024D5E" w:rsidRDefault="0073059B">
          <w:pPr>
            <w:pStyle w:val="TOC2"/>
            <w:tabs>
              <w:tab w:val="right" w:leader="dot" w:pos="9016"/>
            </w:tabs>
            <w:rPr>
              <w:rFonts w:eastAsiaTheme="minorEastAsia"/>
              <w:noProof/>
              <w:lang w:eastAsia="en-AU"/>
            </w:rPr>
          </w:pPr>
          <w:hyperlink w:anchor="_Toc475478019" w:history="1">
            <w:r w:rsidR="00024D5E" w:rsidRPr="00953B7B">
              <w:rPr>
                <w:rStyle w:val="Hyperlink"/>
                <w:noProof/>
              </w:rPr>
              <w:t>Trend following as a solution to modern portfolio selection?</w:t>
            </w:r>
            <w:r w:rsidR="00024D5E">
              <w:rPr>
                <w:noProof/>
                <w:webHidden/>
              </w:rPr>
              <w:tab/>
            </w:r>
            <w:r w:rsidR="00024D5E">
              <w:rPr>
                <w:noProof/>
                <w:webHidden/>
              </w:rPr>
              <w:fldChar w:fldCharType="begin"/>
            </w:r>
            <w:r w:rsidR="00024D5E">
              <w:rPr>
                <w:noProof/>
                <w:webHidden/>
              </w:rPr>
              <w:instrText xml:space="preserve"> PAGEREF _Toc475478019 \h </w:instrText>
            </w:r>
            <w:r w:rsidR="00024D5E">
              <w:rPr>
                <w:noProof/>
                <w:webHidden/>
              </w:rPr>
            </w:r>
            <w:r w:rsidR="00024D5E">
              <w:rPr>
                <w:noProof/>
                <w:webHidden/>
              </w:rPr>
              <w:fldChar w:fldCharType="separate"/>
            </w:r>
            <w:r w:rsidR="00024D5E">
              <w:rPr>
                <w:noProof/>
                <w:webHidden/>
              </w:rPr>
              <w:t>10</w:t>
            </w:r>
            <w:r w:rsidR="00024D5E">
              <w:rPr>
                <w:noProof/>
                <w:webHidden/>
              </w:rPr>
              <w:fldChar w:fldCharType="end"/>
            </w:r>
          </w:hyperlink>
        </w:p>
        <w:p w:rsidR="00024D5E" w:rsidRDefault="0073059B">
          <w:pPr>
            <w:pStyle w:val="TOC2"/>
            <w:tabs>
              <w:tab w:val="right" w:leader="dot" w:pos="9016"/>
            </w:tabs>
            <w:rPr>
              <w:rFonts w:eastAsiaTheme="minorEastAsia"/>
              <w:noProof/>
              <w:lang w:eastAsia="en-AU"/>
            </w:rPr>
          </w:pPr>
          <w:hyperlink w:anchor="_Toc475478020" w:history="1">
            <w:r w:rsidR="00024D5E" w:rsidRPr="00953B7B">
              <w:rPr>
                <w:rStyle w:val="Hyperlink"/>
                <w:noProof/>
              </w:rPr>
              <w:t>Behavioural issues with the strategy</w:t>
            </w:r>
            <w:r w:rsidR="00024D5E">
              <w:rPr>
                <w:noProof/>
                <w:webHidden/>
              </w:rPr>
              <w:tab/>
            </w:r>
            <w:r w:rsidR="00024D5E">
              <w:rPr>
                <w:noProof/>
                <w:webHidden/>
              </w:rPr>
              <w:fldChar w:fldCharType="begin"/>
            </w:r>
            <w:r w:rsidR="00024D5E">
              <w:rPr>
                <w:noProof/>
                <w:webHidden/>
              </w:rPr>
              <w:instrText xml:space="preserve"> PAGEREF _Toc475478020 \h </w:instrText>
            </w:r>
            <w:r w:rsidR="00024D5E">
              <w:rPr>
                <w:noProof/>
                <w:webHidden/>
              </w:rPr>
            </w:r>
            <w:r w:rsidR="00024D5E">
              <w:rPr>
                <w:noProof/>
                <w:webHidden/>
              </w:rPr>
              <w:fldChar w:fldCharType="separate"/>
            </w:r>
            <w:r w:rsidR="00024D5E">
              <w:rPr>
                <w:noProof/>
                <w:webHidden/>
              </w:rPr>
              <w:t>10</w:t>
            </w:r>
            <w:r w:rsidR="00024D5E">
              <w:rPr>
                <w:noProof/>
                <w:webHidden/>
              </w:rPr>
              <w:fldChar w:fldCharType="end"/>
            </w:r>
          </w:hyperlink>
        </w:p>
        <w:p w:rsidR="00024D5E" w:rsidRDefault="0073059B">
          <w:pPr>
            <w:pStyle w:val="TOC2"/>
            <w:tabs>
              <w:tab w:val="right" w:leader="dot" w:pos="9016"/>
            </w:tabs>
            <w:rPr>
              <w:rFonts w:eastAsiaTheme="minorEastAsia"/>
              <w:noProof/>
              <w:lang w:eastAsia="en-AU"/>
            </w:rPr>
          </w:pPr>
          <w:hyperlink w:anchor="_Toc475478021" w:history="1">
            <w:r w:rsidR="00024D5E" w:rsidRPr="00953B7B">
              <w:rPr>
                <w:rStyle w:val="Hyperlink"/>
                <w:noProof/>
              </w:rPr>
              <w:t>Further Extensions</w:t>
            </w:r>
            <w:r w:rsidR="00024D5E">
              <w:rPr>
                <w:noProof/>
                <w:webHidden/>
              </w:rPr>
              <w:tab/>
            </w:r>
            <w:r w:rsidR="00024D5E">
              <w:rPr>
                <w:noProof/>
                <w:webHidden/>
              </w:rPr>
              <w:fldChar w:fldCharType="begin"/>
            </w:r>
            <w:r w:rsidR="00024D5E">
              <w:rPr>
                <w:noProof/>
                <w:webHidden/>
              </w:rPr>
              <w:instrText xml:space="preserve"> PAGEREF _Toc475478021 \h </w:instrText>
            </w:r>
            <w:r w:rsidR="00024D5E">
              <w:rPr>
                <w:noProof/>
                <w:webHidden/>
              </w:rPr>
            </w:r>
            <w:r w:rsidR="00024D5E">
              <w:rPr>
                <w:noProof/>
                <w:webHidden/>
              </w:rPr>
              <w:fldChar w:fldCharType="separate"/>
            </w:r>
            <w:r w:rsidR="00024D5E">
              <w:rPr>
                <w:noProof/>
                <w:webHidden/>
              </w:rPr>
              <w:t>11</w:t>
            </w:r>
            <w:r w:rsidR="00024D5E">
              <w:rPr>
                <w:noProof/>
                <w:webHidden/>
              </w:rPr>
              <w:fldChar w:fldCharType="end"/>
            </w:r>
          </w:hyperlink>
        </w:p>
        <w:p w:rsidR="00024D5E" w:rsidRDefault="0073059B">
          <w:pPr>
            <w:pStyle w:val="TOC2"/>
            <w:tabs>
              <w:tab w:val="right" w:leader="dot" w:pos="9016"/>
            </w:tabs>
            <w:rPr>
              <w:rFonts w:eastAsiaTheme="minorEastAsia"/>
              <w:noProof/>
              <w:lang w:eastAsia="en-AU"/>
            </w:rPr>
          </w:pPr>
          <w:hyperlink w:anchor="_Toc475478022" w:history="1">
            <w:r w:rsidR="00024D5E" w:rsidRPr="00953B7B">
              <w:rPr>
                <w:rStyle w:val="Hyperlink"/>
                <w:noProof/>
              </w:rPr>
              <w:t>Leverage and Portfolio theory</w:t>
            </w:r>
            <w:r w:rsidR="00024D5E">
              <w:rPr>
                <w:noProof/>
                <w:webHidden/>
              </w:rPr>
              <w:tab/>
            </w:r>
            <w:r w:rsidR="00024D5E">
              <w:rPr>
                <w:noProof/>
                <w:webHidden/>
              </w:rPr>
              <w:fldChar w:fldCharType="begin"/>
            </w:r>
            <w:r w:rsidR="00024D5E">
              <w:rPr>
                <w:noProof/>
                <w:webHidden/>
              </w:rPr>
              <w:instrText xml:space="preserve"> PAGEREF _Toc475478022 \h </w:instrText>
            </w:r>
            <w:r w:rsidR="00024D5E">
              <w:rPr>
                <w:noProof/>
                <w:webHidden/>
              </w:rPr>
            </w:r>
            <w:r w:rsidR="00024D5E">
              <w:rPr>
                <w:noProof/>
                <w:webHidden/>
              </w:rPr>
              <w:fldChar w:fldCharType="separate"/>
            </w:r>
            <w:r w:rsidR="00024D5E">
              <w:rPr>
                <w:noProof/>
                <w:webHidden/>
              </w:rPr>
              <w:t>11</w:t>
            </w:r>
            <w:r w:rsidR="00024D5E">
              <w:rPr>
                <w:noProof/>
                <w:webHidden/>
              </w:rPr>
              <w:fldChar w:fldCharType="end"/>
            </w:r>
          </w:hyperlink>
        </w:p>
        <w:p w:rsidR="00024D5E" w:rsidRDefault="0073059B">
          <w:pPr>
            <w:pStyle w:val="TOC1"/>
            <w:tabs>
              <w:tab w:val="right" w:leader="dot" w:pos="9016"/>
            </w:tabs>
            <w:rPr>
              <w:rFonts w:eastAsiaTheme="minorEastAsia"/>
              <w:noProof/>
              <w:lang w:eastAsia="en-AU"/>
            </w:rPr>
          </w:pPr>
          <w:hyperlink w:anchor="_Toc475478023" w:history="1">
            <w:r w:rsidR="00024D5E" w:rsidRPr="00953B7B">
              <w:rPr>
                <w:rStyle w:val="Hyperlink"/>
                <w:noProof/>
              </w:rPr>
              <w:t>Practical implications for Institutional and Retail Investors</w:t>
            </w:r>
            <w:r w:rsidR="00024D5E">
              <w:rPr>
                <w:noProof/>
                <w:webHidden/>
              </w:rPr>
              <w:tab/>
            </w:r>
            <w:r w:rsidR="00024D5E">
              <w:rPr>
                <w:noProof/>
                <w:webHidden/>
              </w:rPr>
              <w:fldChar w:fldCharType="begin"/>
            </w:r>
            <w:r w:rsidR="00024D5E">
              <w:rPr>
                <w:noProof/>
                <w:webHidden/>
              </w:rPr>
              <w:instrText xml:space="preserve"> PAGEREF _Toc475478023 \h </w:instrText>
            </w:r>
            <w:r w:rsidR="00024D5E">
              <w:rPr>
                <w:noProof/>
                <w:webHidden/>
              </w:rPr>
            </w:r>
            <w:r w:rsidR="00024D5E">
              <w:rPr>
                <w:noProof/>
                <w:webHidden/>
              </w:rPr>
              <w:fldChar w:fldCharType="separate"/>
            </w:r>
            <w:r w:rsidR="00024D5E">
              <w:rPr>
                <w:noProof/>
                <w:webHidden/>
              </w:rPr>
              <w:t>11</w:t>
            </w:r>
            <w:r w:rsidR="00024D5E">
              <w:rPr>
                <w:noProof/>
                <w:webHidden/>
              </w:rPr>
              <w:fldChar w:fldCharType="end"/>
            </w:r>
          </w:hyperlink>
        </w:p>
        <w:p w:rsidR="00024D5E" w:rsidRDefault="0073059B">
          <w:pPr>
            <w:pStyle w:val="TOC1"/>
            <w:tabs>
              <w:tab w:val="right" w:leader="dot" w:pos="9016"/>
            </w:tabs>
            <w:rPr>
              <w:rFonts w:eastAsiaTheme="minorEastAsia"/>
              <w:noProof/>
              <w:lang w:eastAsia="en-AU"/>
            </w:rPr>
          </w:pPr>
          <w:hyperlink w:anchor="_Toc475478024" w:history="1">
            <w:r w:rsidR="00024D5E" w:rsidRPr="00953B7B">
              <w:rPr>
                <w:rStyle w:val="Hyperlink"/>
                <w:noProof/>
              </w:rPr>
              <w:t>Active vs Passive</w:t>
            </w:r>
            <w:r w:rsidR="00024D5E">
              <w:rPr>
                <w:noProof/>
                <w:webHidden/>
              </w:rPr>
              <w:tab/>
            </w:r>
            <w:r w:rsidR="00024D5E">
              <w:rPr>
                <w:noProof/>
                <w:webHidden/>
              </w:rPr>
              <w:fldChar w:fldCharType="begin"/>
            </w:r>
            <w:r w:rsidR="00024D5E">
              <w:rPr>
                <w:noProof/>
                <w:webHidden/>
              </w:rPr>
              <w:instrText xml:space="preserve"> PAGEREF _Toc475478024 \h </w:instrText>
            </w:r>
            <w:r w:rsidR="00024D5E">
              <w:rPr>
                <w:noProof/>
                <w:webHidden/>
              </w:rPr>
            </w:r>
            <w:r w:rsidR="00024D5E">
              <w:rPr>
                <w:noProof/>
                <w:webHidden/>
              </w:rPr>
              <w:fldChar w:fldCharType="separate"/>
            </w:r>
            <w:r w:rsidR="00024D5E">
              <w:rPr>
                <w:noProof/>
                <w:webHidden/>
              </w:rPr>
              <w:t>11</w:t>
            </w:r>
            <w:r w:rsidR="00024D5E">
              <w:rPr>
                <w:noProof/>
                <w:webHidden/>
              </w:rPr>
              <w:fldChar w:fldCharType="end"/>
            </w:r>
          </w:hyperlink>
        </w:p>
        <w:p w:rsidR="00024D5E" w:rsidRDefault="0073059B">
          <w:pPr>
            <w:pStyle w:val="TOC1"/>
            <w:tabs>
              <w:tab w:val="right" w:leader="dot" w:pos="9016"/>
            </w:tabs>
            <w:rPr>
              <w:rFonts w:eastAsiaTheme="minorEastAsia"/>
              <w:noProof/>
              <w:lang w:eastAsia="en-AU"/>
            </w:rPr>
          </w:pPr>
          <w:hyperlink w:anchor="_Toc475478025" w:history="1">
            <w:r w:rsidR="00024D5E" w:rsidRPr="00953B7B">
              <w:rPr>
                <w:rStyle w:val="Hyperlink"/>
                <w:noProof/>
              </w:rPr>
              <w:t>Should commodities be removed</w:t>
            </w:r>
            <w:r w:rsidR="00024D5E">
              <w:rPr>
                <w:noProof/>
                <w:webHidden/>
              </w:rPr>
              <w:tab/>
            </w:r>
            <w:r w:rsidR="00024D5E">
              <w:rPr>
                <w:noProof/>
                <w:webHidden/>
              </w:rPr>
              <w:fldChar w:fldCharType="begin"/>
            </w:r>
            <w:r w:rsidR="00024D5E">
              <w:rPr>
                <w:noProof/>
                <w:webHidden/>
              </w:rPr>
              <w:instrText xml:space="preserve"> PAGEREF _Toc475478025 \h </w:instrText>
            </w:r>
            <w:r w:rsidR="00024D5E">
              <w:rPr>
                <w:noProof/>
                <w:webHidden/>
              </w:rPr>
            </w:r>
            <w:r w:rsidR="00024D5E">
              <w:rPr>
                <w:noProof/>
                <w:webHidden/>
              </w:rPr>
              <w:fldChar w:fldCharType="separate"/>
            </w:r>
            <w:r w:rsidR="00024D5E">
              <w:rPr>
                <w:noProof/>
                <w:webHidden/>
              </w:rPr>
              <w:t>12</w:t>
            </w:r>
            <w:r w:rsidR="00024D5E">
              <w:rPr>
                <w:noProof/>
                <w:webHidden/>
              </w:rPr>
              <w:fldChar w:fldCharType="end"/>
            </w:r>
          </w:hyperlink>
        </w:p>
        <w:p w:rsidR="00024D5E" w:rsidRDefault="0073059B">
          <w:pPr>
            <w:pStyle w:val="TOC1"/>
            <w:tabs>
              <w:tab w:val="right" w:leader="dot" w:pos="9016"/>
            </w:tabs>
            <w:rPr>
              <w:rFonts w:eastAsiaTheme="minorEastAsia"/>
              <w:noProof/>
              <w:lang w:eastAsia="en-AU"/>
            </w:rPr>
          </w:pPr>
          <w:hyperlink w:anchor="_Toc475478026" w:history="1">
            <w:r w:rsidR="00024D5E" w:rsidRPr="00953B7B">
              <w:rPr>
                <w:rStyle w:val="Hyperlink"/>
                <w:noProof/>
              </w:rPr>
              <w:t>Will the model work with rising interest rates?</w:t>
            </w:r>
            <w:r w:rsidR="00024D5E">
              <w:rPr>
                <w:noProof/>
                <w:webHidden/>
              </w:rPr>
              <w:tab/>
            </w:r>
            <w:r w:rsidR="00024D5E">
              <w:rPr>
                <w:noProof/>
                <w:webHidden/>
              </w:rPr>
              <w:fldChar w:fldCharType="begin"/>
            </w:r>
            <w:r w:rsidR="00024D5E">
              <w:rPr>
                <w:noProof/>
                <w:webHidden/>
              </w:rPr>
              <w:instrText xml:space="preserve"> PAGEREF _Toc475478026 \h </w:instrText>
            </w:r>
            <w:r w:rsidR="00024D5E">
              <w:rPr>
                <w:noProof/>
                <w:webHidden/>
              </w:rPr>
            </w:r>
            <w:r w:rsidR="00024D5E">
              <w:rPr>
                <w:noProof/>
                <w:webHidden/>
              </w:rPr>
              <w:fldChar w:fldCharType="separate"/>
            </w:r>
            <w:r w:rsidR="00024D5E">
              <w:rPr>
                <w:noProof/>
                <w:webHidden/>
              </w:rPr>
              <w:t>12</w:t>
            </w:r>
            <w:r w:rsidR="00024D5E">
              <w:rPr>
                <w:noProof/>
                <w:webHidden/>
              </w:rPr>
              <w:fldChar w:fldCharType="end"/>
            </w:r>
          </w:hyperlink>
        </w:p>
        <w:p w:rsidR="00024D5E" w:rsidRDefault="0073059B">
          <w:pPr>
            <w:pStyle w:val="TOC1"/>
            <w:tabs>
              <w:tab w:val="right" w:leader="dot" w:pos="9016"/>
            </w:tabs>
            <w:rPr>
              <w:rFonts w:eastAsiaTheme="minorEastAsia"/>
              <w:noProof/>
              <w:lang w:eastAsia="en-AU"/>
            </w:rPr>
          </w:pPr>
          <w:hyperlink w:anchor="_Toc475478027" w:history="1">
            <w:r w:rsidR="00024D5E" w:rsidRPr="00953B7B">
              <w:rPr>
                <w:rStyle w:val="Hyperlink"/>
                <w:noProof/>
              </w:rPr>
              <w:t>Ideas and tests to improve Fabers approach</w:t>
            </w:r>
            <w:r w:rsidR="00024D5E">
              <w:rPr>
                <w:noProof/>
                <w:webHidden/>
              </w:rPr>
              <w:tab/>
            </w:r>
            <w:r w:rsidR="00024D5E">
              <w:rPr>
                <w:noProof/>
                <w:webHidden/>
              </w:rPr>
              <w:fldChar w:fldCharType="begin"/>
            </w:r>
            <w:r w:rsidR="00024D5E">
              <w:rPr>
                <w:noProof/>
                <w:webHidden/>
              </w:rPr>
              <w:instrText xml:space="preserve"> PAGEREF _Toc475478027 \h </w:instrText>
            </w:r>
            <w:r w:rsidR="00024D5E">
              <w:rPr>
                <w:noProof/>
                <w:webHidden/>
              </w:rPr>
            </w:r>
            <w:r w:rsidR="00024D5E">
              <w:rPr>
                <w:noProof/>
                <w:webHidden/>
              </w:rPr>
              <w:fldChar w:fldCharType="separate"/>
            </w:r>
            <w:r w:rsidR="00024D5E">
              <w:rPr>
                <w:noProof/>
                <w:webHidden/>
              </w:rPr>
              <w:t>12</w:t>
            </w:r>
            <w:r w:rsidR="00024D5E">
              <w:rPr>
                <w:noProof/>
                <w:webHidden/>
              </w:rPr>
              <w:fldChar w:fldCharType="end"/>
            </w:r>
          </w:hyperlink>
        </w:p>
        <w:p w:rsidR="00024D5E" w:rsidRDefault="0073059B">
          <w:pPr>
            <w:pStyle w:val="TOC1"/>
            <w:tabs>
              <w:tab w:val="right" w:leader="dot" w:pos="9016"/>
            </w:tabs>
            <w:rPr>
              <w:rFonts w:eastAsiaTheme="minorEastAsia"/>
              <w:noProof/>
              <w:lang w:eastAsia="en-AU"/>
            </w:rPr>
          </w:pPr>
          <w:hyperlink w:anchor="_Toc475478028" w:history="1">
            <w:r w:rsidR="00024D5E" w:rsidRPr="00953B7B">
              <w:rPr>
                <w:rStyle w:val="Hyperlink"/>
                <w:noProof/>
              </w:rPr>
              <w:t>Appendix – Using R and R code</w:t>
            </w:r>
            <w:r w:rsidR="00024D5E">
              <w:rPr>
                <w:noProof/>
                <w:webHidden/>
              </w:rPr>
              <w:tab/>
            </w:r>
            <w:r w:rsidR="00024D5E">
              <w:rPr>
                <w:noProof/>
                <w:webHidden/>
              </w:rPr>
              <w:fldChar w:fldCharType="begin"/>
            </w:r>
            <w:r w:rsidR="00024D5E">
              <w:rPr>
                <w:noProof/>
                <w:webHidden/>
              </w:rPr>
              <w:instrText xml:space="preserve"> PAGEREF _Toc475478028 \h </w:instrText>
            </w:r>
            <w:r w:rsidR="00024D5E">
              <w:rPr>
                <w:noProof/>
                <w:webHidden/>
              </w:rPr>
            </w:r>
            <w:r w:rsidR="00024D5E">
              <w:rPr>
                <w:noProof/>
                <w:webHidden/>
              </w:rPr>
              <w:fldChar w:fldCharType="separate"/>
            </w:r>
            <w:r w:rsidR="00024D5E">
              <w:rPr>
                <w:noProof/>
                <w:webHidden/>
              </w:rPr>
              <w:t>12</w:t>
            </w:r>
            <w:r w:rsidR="00024D5E">
              <w:rPr>
                <w:noProof/>
                <w:webHidden/>
              </w:rPr>
              <w:fldChar w:fldCharType="end"/>
            </w:r>
          </w:hyperlink>
        </w:p>
        <w:p w:rsidR="00024D5E" w:rsidRDefault="0073059B">
          <w:pPr>
            <w:pStyle w:val="TOC1"/>
            <w:tabs>
              <w:tab w:val="right" w:leader="dot" w:pos="9016"/>
            </w:tabs>
            <w:rPr>
              <w:rFonts w:eastAsiaTheme="minorEastAsia"/>
              <w:noProof/>
              <w:lang w:eastAsia="en-AU"/>
            </w:rPr>
          </w:pPr>
          <w:hyperlink w:anchor="_Toc475478029" w:history="1">
            <w:r w:rsidR="00024D5E" w:rsidRPr="00953B7B">
              <w:rPr>
                <w:rStyle w:val="Hyperlink"/>
                <w:noProof/>
              </w:rPr>
              <w:t>References</w:t>
            </w:r>
            <w:r w:rsidR="00024D5E">
              <w:rPr>
                <w:noProof/>
                <w:webHidden/>
              </w:rPr>
              <w:tab/>
            </w:r>
            <w:r w:rsidR="00024D5E">
              <w:rPr>
                <w:noProof/>
                <w:webHidden/>
              </w:rPr>
              <w:fldChar w:fldCharType="begin"/>
            </w:r>
            <w:r w:rsidR="00024D5E">
              <w:rPr>
                <w:noProof/>
                <w:webHidden/>
              </w:rPr>
              <w:instrText xml:space="preserve"> PAGEREF _Toc475478029 \h </w:instrText>
            </w:r>
            <w:r w:rsidR="00024D5E">
              <w:rPr>
                <w:noProof/>
                <w:webHidden/>
              </w:rPr>
            </w:r>
            <w:r w:rsidR="00024D5E">
              <w:rPr>
                <w:noProof/>
                <w:webHidden/>
              </w:rPr>
              <w:fldChar w:fldCharType="separate"/>
            </w:r>
            <w:r w:rsidR="00024D5E">
              <w:rPr>
                <w:noProof/>
                <w:webHidden/>
              </w:rPr>
              <w:t>12</w:t>
            </w:r>
            <w:r w:rsidR="00024D5E">
              <w:rPr>
                <w:noProof/>
                <w:webHidden/>
              </w:rPr>
              <w:fldChar w:fldCharType="end"/>
            </w:r>
          </w:hyperlink>
        </w:p>
        <w:p w:rsidR="0032524B" w:rsidRDefault="0032524B">
          <w:r>
            <w:rPr>
              <w:b/>
              <w:bCs/>
              <w:noProof/>
            </w:rPr>
            <w:fldChar w:fldCharType="end"/>
          </w:r>
        </w:p>
      </w:sdtContent>
    </w:sdt>
    <w:p w:rsidR="00CD35BD" w:rsidRDefault="00CD35BD" w:rsidP="00E87051"/>
    <w:p w:rsidR="0032524B" w:rsidRDefault="00AE76CF" w:rsidP="00E87051">
      <w:r>
        <w:t>To do list:</w:t>
      </w:r>
    </w:p>
    <w:p w:rsidR="00AE76CF" w:rsidRDefault="00AE76CF" w:rsidP="00AE76CF">
      <w:pPr>
        <w:pStyle w:val="ListParagraph"/>
        <w:numPr>
          <w:ilvl w:val="0"/>
          <w:numId w:val="1"/>
        </w:numPr>
      </w:pPr>
      <w:r>
        <w:t>Get insead branding</w:t>
      </w:r>
    </w:p>
    <w:p w:rsidR="00AE76CF" w:rsidRDefault="00AE76CF" w:rsidP="00AE76CF">
      <w:pPr>
        <w:pStyle w:val="ListParagraph"/>
        <w:numPr>
          <w:ilvl w:val="0"/>
          <w:numId w:val="1"/>
        </w:numPr>
      </w:pPr>
    </w:p>
    <w:p w:rsidR="0032524B" w:rsidRDefault="0032524B" w:rsidP="00E87051"/>
    <w:p w:rsidR="00CD35BD" w:rsidRDefault="00CD35BD" w:rsidP="00E87051"/>
    <w:p w:rsidR="0032524B" w:rsidRDefault="0032524B">
      <w:r>
        <w:br w:type="page"/>
      </w:r>
    </w:p>
    <w:p w:rsidR="00180072" w:rsidRDefault="0032524B" w:rsidP="0032524B">
      <w:pPr>
        <w:pStyle w:val="Heading1"/>
      </w:pPr>
      <w:bookmarkStart w:id="0" w:name="_Toc475478000"/>
      <w:r>
        <w:lastRenderedPageBreak/>
        <w:t>List of Figures and Tables</w:t>
      </w:r>
      <w:bookmarkEnd w:id="0"/>
      <w:r>
        <w:t xml:space="preserve"> </w:t>
      </w:r>
    </w:p>
    <w:p w:rsidR="00530C30" w:rsidRDefault="009F2229" w:rsidP="0032524B">
      <w:pPr>
        <w:pStyle w:val="Heading1"/>
      </w:pPr>
      <w:bookmarkStart w:id="1" w:name="_Toc475478001"/>
      <w:r>
        <w:t>Introduction</w:t>
      </w:r>
      <w:bookmarkEnd w:id="1"/>
    </w:p>
    <w:p w:rsidR="00D4185D" w:rsidRDefault="00D4185D" w:rsidP="00D4185D">
      <w:r>
        <w:t>Mebane Faber released a paper in 2006 (http://papers.ssrn.com/sol3/papers.cfm?abstract_id=962461) which applies a trend following market timing model to manage risk on a portfolio equally weighted with 5 asset classes (20% US Large Cap Equities, 20% Foreign Developed Equities, 20% US 10yr Gov Bonds, 20% commodities and 20% real estate).</w:t>
      </w:r>
    </w:p>
    <w:p w:rsidR="00D4185D" w:rsidRDefault="00D4185D" w:rsidP="00D4185D">
      <w:r>
        <w:t>The results showed the simple moving average based market timing system commonly used in CTAs could be applied to asset allocation to significant improve the performance and risk metrics compared to a standard buy and hold strategy. Depending on the moving average period used, the market timing system had similar or slightly better returns (9.54-10.73% CAGR vs 9.92% CAGR) to the buy and hold strategy. However, the timing system reduced volatility from 10.28% to 6.83%-7.09%, improving the sharpe ratio (rf 5.41%) from 0.44 to 0.60-0.77. Max DD was also significantly improved from 46% to 9.76%-17.42%.</w:t>
      </w:r>
    </w:p>
    <w:p w:rsidR="00D4185D" w:rsidRDefault="00D4185D" w:rsidP="00D4185D">
      <w:r>
        <w:t xml:space="preserve">Faber's model is applied to 5 asset classes - US Equities, Foreign Develeped country equities, Fixed Income, Commodities and Real Assets/Real estate. He uses the following data series to represent these asset classes. </w:t>
      </w:r>
    </w:p>
    <w:p w:rsidR="00D4185D" w:rsidRDefault="00D4185D" w:rsidP="00D4185D">
      <w:r>
        <w:t>- S&amp;P 500</w:t>
      </w:r>
    </w:p>
    <w:p w:rsidR="00D4185D" w:rsidRDefault="00D4185D" w:rsidP="00D4185D">
      <w:r>
        <w:t>- MSCI EAFE</w:t>
      </w:r>
    </w:p>
    <w:p w:rsidR="00D4185D" w:rsidRDefault="00D4185D" w:rsidP="00D4185D">
      <w:r>
        <w:t>- US 10 Year Government Bonds</w:t>
      </w:r>
    </w:p>
    <w:p w:rsidR="00D4185D" w:rsidRDefault="00D4185D" w:rsidP="00D4185D">
      <w:r>
        <w:t>- Goldman Sachs Commodity Index</w:t>
      </w:r>
    </w:p>
    <w:p w:rsidR="00D4185D" w:rsidRDefault="00D4185D" w:rsidP="00D4185D">
      <w:r>
        <w:t>- NAREIT Index</w:t>
      </w:r>
    </w:p>
    <w:p w:rsidR="00D4185D" w:rsidRDefault="00D4185D" w:rsidP="00D4185D">
      <w:r>
        <w:t>All data series are total return series including dividends and income. Monthly data is used over the period 1972-2012 which i have extended to include up to the end of 2016 for further analysis.</w:t>
      </w:r>
    </w:p>
    <w:p w:rsidR="00D4185D" w:rsidRDefault="00D4185D" w:rsidP="00D4185D">
      <w:r>
        <w:t>The data provider for Fabers research is Global Financial Data -  unfortunately a paid service i could get access to.</w:t>
      </w:r>
    </w:p>
    <w:p w:rsidR="00D4185D" w:rsidRDefault="00D4185D" w:rsidP="00D4185D">
      <w:r>
        <w:t>4 of the 5 indices were available on Bloomberg. The US 10 Yr Government bonds total returns index had to be recreated using yields available on FRED. Although there are small discrepancies in performance statistics i am confident the data is close enough to the original data that it can be used.</w:t>
      </w:r>
      <w:r w:rsidR="00E35E6C">
        <w:t xml:space="preserve"> </w:t>
      </w:r>
      <w:r>
        <w:t>See appendix for more details.</w:t>
      </w:r>
    </w:p>
    <w:p w:rsidR="00D4185D" w:rsidRDefault="00D4185D" w:rsidP="00AE76CF"/>
    <w:p w:rsidR="00AE76CF" w:rsidRDefault="00AE76CF" w:rsidP="0032524B">
      <w:pPr>
        <w:pStyle w:val="Heading1"/>
      </w:pPr>
      <w:bookmarkStart w:id="2" w:name="_Toc475478002"/>
      <w:r>
        <w:t>Literature review</w:t>
      </w:r>
      <w:bookmarkEnd w:id="2"/>
    </w:p>
    <w:p w:rsidR="00180072" w:rsidRDefault="00180072">
      <w:pPr>
        <w:rPr>
          <w:rFonts w:asciiTheme="majorHAnsi" w:eastAsiaTheme="majorEastAsia" w:hAnsiTheme="majorHAnsi" w:cstheme="majorBidi"/>
          <w:color w:val="2F5496" w:themeColor="accent1" w:themeShade="BF"/>
          <w:sz w:val="32"/>
          <w:szCs w:val="32"/>
        </w:rPr>
      </w:pPr>
    </w:p>
    <w:p w:rsidR="009F2229" w:rsidRDefault="00AE76CF" w:rsidP="0032524B">
      <w:pPr>
        <w:pStyle w:val="Heading1"/>
      </w:pPr>
      <w:bookmarkStart w:id="3" w:name="_Toc475478003"/>
      <w:r>
        <w:t>R</w:t>
      </w:r>
      <w:r w:rsidR="009F2229">
        <w:t>eplication of Faber</w:t>
      </w:r>
      <w:r>
        <w:t>’</w:t>
      </w:r>
      <w:r w:rsidR="009F2229">
        <w:t>s model</w:t>
      </w:r>
      <w:bookmarkEnd w:id="3"/>
    </w:p>
    <w:p w:rsidR="00490943" w:rsidRDefault="00490943" w:rsidP="00490943">
      <w:pPr>
        <w:pStyle w:val="Heading2"/>
      </w:pPr>
      <w:bookmarkStart w:id="4" w:name="_Toc475478004"/>
      <w:r>
        <w:t>Summary of the papers</w:t>
      </w:r>
      <w:bookmarkEnd w:id="4"/>
    </w:p>
    <w:p w:rsidR="0006019A" w:rsidRDefault="0006019A" w:rsidP="0006019A">
      <w:r>
        <w:t>In July 2006, Mebane Faber began to circulate a working paper entitled A Quantitative Approach to Tactical Asset Allocation</w:t>
      </w:r>
      <w:r w:rsidR="00E35EBC">
        <w:t xml:space="preserve"> which was subsequently published by T</w:t>
      </w:r>
      <w:r>
        <w:t xml:space="preserve">he Journal of Wealth Management </w:t>
      </w:r>
      <w:r>
        <w:lastRenderedPageBreak/>
        <w:t>in Spring 2007.</w:t>
      </w:r>
      <w:r w:rsidR="003F23CE">
        <w:t xml:space="preserve"> In February 2009 Faber updated his paper to include data from 2006-2008 and then again updated the paper in February 2013 to include data from 2009-2012 as well as test the approach on alternative asset classes and allocations.</w:t>
      </w:r>
    </w:p>
    <w:p w:rsidR="003F23CE" w:rsidRDefault="003F23CE" w:rsidP="0006019A">
      <w:r>
        <w:t>The purpose of Faber’s research was to present a simple quantitative method that improves risk adjusted returns across various asset classes (need to quote?).</w:t>
      </w:r>
      <w:r w:rsidR="00E35EBC">
        <w:t xml:space="preserve"> </w:t>
      </w:r>
      <w:r w:rsidR="001A5463">
        <w:t>Testing over 5 asset classes from 1973-2012, h</w:t>
      </w:r>
      <w:r w:rsidR="00E35EBC">
        <w:t xml:space="preserve">is approach </w:t>
      </w:r>
      <w:r w:rsidR="001A5463">
        <w:t xml:space="preserve">improved risk adjusted returns in every asset class tested and when applied to an equal weighted asset allocation resulted in </w:t>
      </w:r>
      <w:r w:rsidR="00E35EBC">
        <w:t>equity like returns with bond like volatility and drawdowns.</w:t>
      </w:r>
    </w:p>
    <w:p w:rsidR="001A5463" w:rsidRDefault="001A5463" w:rsidP="0006019A">
      <w:r>
        <w:t xml:space="preserve">The quantitative system used by Faber is based on one of the most common trend following </w:t>
      </w:r>
      <w:r w:rsidR="00AC5091">
        <w:t xml:space="preserve">strategies </w:t>
      </w:r>
      <w:r w:rsidR="008F3E97">
        <w:t>which</w:t>
      </w:r>
      <w:r w:rsidR="00AC5091">
        <w:t xml:space="preserve"> uses a 200 day moving average to signal when to get long or short a security</w:t>
      </w:r>
      <w:r>
        <w:t>. It m</w:t>
      </w:r>
      <w:r w:rsidR="00AC5091">
        <w:t xml:space="preserve">et his criteria of being </w:t>
      </w:r>
      <w:r w:rsidR="008F3E97">
        <w:t xml:space="preserve">a </w:t>
      </w:r>
      <w:r w:rsidR="00AC5091">
        <w:t>simple</w:t>
      </w:r>
      <w:r>
        <w:t>,</w:t>
      </w:r>
      <w:r w:rsidR="00AC5091">
        <w:t xml:space="preserve"> mechanical price based </w:t>
      </w:r>
      <w:r w:rsidR="008F3E97">
        <w:t xml:space="preserve">signal with </w:t>
      </w:r>
      <w:r w:rsidR="00AC5091">
        <w:t xml:space="preserve">non optimised parameters for all asset classes. Faber, testing with monthly data, adapted his approach to use the monthly equivalent 10 month simple moving average signal to </w:t>
      </w:r>
      <w:r w:rsidR="008F3E97">
        <w:t>indicate</w:t>
      </w:r>
      <w:r w:rsidR="00AC5091">
        <w:t xml:space="preserve"> when to get long or move to cash. The rules are simple; buy when the monthly price is greater than the 10month simple moving average and sell and move to cash when the monthly price crossed below the 10 month simple moving average.</w:t>
      </w:r>
    </w:p>
    <w:p w:rsidR="0006019A" w:rsidRDefault="0032524B" w:rsidP="0032524B">
      <w:pPr>
        <w:pStyle w:val="Heading2"/>
      </w:pPr>
      <w:bookmarkStart w:id="5" w:name="_Toc475478005"/>
      <w:r w:rsidRPr="0032524B">
        <w:t>Data</w:t>
      </w:r>
      <w:r w:rsidR="0006019A">
        <w:t xml:space="preserve"> used</w:t>
      </w:r>
      <w:bookmarkEnd w:id="5"/>
    </w:p>
    <w:p w:rsidR="006B62CB" w:rsidRDefault="00F02EC8" w:rsidP="00F02EC8">
      <w:r>
        <w:t xml:space="preserve">Faber </w:t>
      </w:r>
      <w:r w:rsidR="006B62CB">
        <w:t xml:space="preserve">tests his quantitative approach on five asset classes – Domestic (US) Equities, Foreign Developed Equities, US Bonds, Commodities and Real Estate. </w:t>
      </w:r>
    </w:p>
    <w:p w:rsidR="006B62CB" w:rsidRDefault="006B62CB" w:rsidP="00F02EC8">
      <w:r>
        <w:t xml:space="preserve">He chose publicly traded indices representing these asset classes and obtained monthly total return data series from Global Financial Data to use in his framework. </w:t>
      </w:r>
      <w:r w:rsidR="008F3E97">
        <w:t>XYZ shows that since 1900 the majority of returns has come from dividends, hence why total return indices were used.</w:t>
      </w:r>
    </w:p>
    <w:p w:rsidR="006B62CB" w:rsidRDefault="006B62CB" w:rsidP="00F02EC8">
      <w:r>
        <w:t xml:space="preserve">The </w:t>
      </w:r>
      <w:r w:rsidR="008F3E97">
        <w:t xml:space="preserve">actual </w:t>
      </w:r>
      <w:r>
        <w:t>indices chosen were Standard and Poor’s 500 Index (S&amp;P 500), Morgan Stanley Capital International Developed Markets Index (MSCI EAFE), United States Government 10yr Treasure Bonds, Goldman Sachs Commodity Index (GSCI) and the National Association of Real Estate Investment Trusts Index (NAREIT).</w:t>
      </w:r>
    </w:p>
    <w:p w:rsidR="001D4B36" w:rsidRPr="00F02EC8" w:rsidRDefault="006B62CB" w:rsidP="00F02EC8">
      <w:r>
        <w:t>Global Financial Data is a paid service. Data used in this paper has been obtained from Bloomberg (S&amp;P500, NAREIT, EAFE, GSCI)</w:t>
      </w:r>
      <w:r w:rsidR="00A75F72">
        <w:t>. For Government bonds</w:t>
      </w:r>
      <w:r w:rsidR="001D4B36">
        <w:t>, US 10 year</w:t>
      </w:r>
      <w:r w:rsidR="00A75F72">
        <w:t xml:space="preserve"> yields have been </w:t>
      </w:r>
      <w:r w:rsidR="001D4B36">
        <w:t>obtained from</w:t>
      </w:r>
      <w:r>
        <w:t xml:space="preserve"> FRED)</w:t>
      </w:r>
      <w:r w:rsidR="001D4B36">
        <w:t xml:space="preserve"> and a total return index has been created following the guidelines by xxx. Differences in results likely due to differences in data are discussed later.</w:t>
      </w:r>
    </w:p>
    <w:p w:rsidR="0032524B" w:rsidRDefault="0006019A" w:rsidP="0032524B">
      <w:pPr>
        <w:pStyle w:val="Heading2"/>
      </w:pPr>
      <w:bookmarkStart w:id="6" w:name="_Toc475478006"/>
      <w:r>
        <w:t xml:space="preserve">Replication of </w:t>
      </w:r>
      <w:bookmarkEnd w:id="6"/>
      <w:r w:rsidR="004A5810">
        <w:t>asset returns and extension to include 2013-2016</w:t>
      </w:r>
    </w:p>
    <w:p w:rsidR="00DF6E5E" w:rsidRPr="00DF6E5E" w:rsidRDefault="00DF6E5E" w:rsidP="00DF6E5E">
      <w:pPr>
        <w:pStyle w:val="Heading3"/>
      </w:pPr>
      <w:bookmarkStart w:id="7" w:name="_Toc475478007"/>
      <w:r>
        <w:t>Asset Returns</w:t>
      </w:r>
      <w:bookmarkEnd w:id="7"/>
    </w:p>
    <w:p w:rsidR="001D4B36" w:rsidRDefault="004D04CE" w:rsidP="001D4B36">
      <w:r>
        <w:t>Faber first charts the asset class returns to see the routes they travelled from start to finish. The replication of this chart below and comparing it to Faber’s F</w:t>
      </w:r>
      <w:r w:rsidR="009C3F7C">
        <w:t xml:space="preserve">igure 3 </w:t>
      </w:r>
      <w:r>
        <w:t>(p</w:t>
      </w:r>
      <w:r w:rsidR="00F60858">
        <w:t>a</w:t>
      </w:r>
      <w:r>
        <w:t>g</w:t>
      </w:r>
      <w:r w:rsidR="00F60858">
        <w:t>e</w:t>
      </w:r>
      <w:r>
        <w:t xml:space="preserve"> 16) </w:t>
      </w:r>
      <w:r w:rsidR="009C3F7C">
        <w:t xml:space="preserve">visually </w:t>
      </w:r>
      <w:r>
        <w:t xml:space="preserve">confirms the data obtained is fairly close to the data Faber original used provided by Global Financial Data. </w:t>
      </w:r>
    </w:p>
    <w:p w:rsidR="004D04CE" w:rsidRDefault="00F60858" w:rsidP="001D4B36">
      <w:r>
        <w:rPr>
          <w:noProof/>
          <w:lang w:eastAsia="en-AU"/>
        </w:rPr>
        <w:lastRenderedPageBreak/>
        <w:drawing>
          <wp:inline distT="0" distB="0" distL="0" distR="0" wp14:anchorId="61E2DC00" wp14:editId="2DDBAF9F">
            <wp:extent cx="5731510" cy="35375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537585"/>
                    </a:xfrm>
                    <a:prstGeom prst="rect">
                      <a:avLst/>
                    </a:prstGeom>
                  </pic:spPr>
                </pic:pic>
              </a:graphicData>
            </a:graphic>
          </wp:inline>
        </w:drawing>
      </w:r>
      <w:r w:rsidR="004D04CE">
        <w:t>Extending this chart to the end of 2016, we can see what has happened over the last 4 years of returns.</w:t>
      </w:r>
    </w:p>
    <w:p w:rsidR="004D04CE" w:rsidRDefault="00F60858" w:rsidP="001D4B36">
      <w:r>
        <w:rPr>
          <w:noProof/>
          <w:lang w:eastAsia="en-AU"/>
        </w:rPr>
        <w:drawing>
          <wp:inline distT="0" distB="0" distL="0" distR="0" wp14:anchorId="372E9B6F" wp14:editId="048F9606">
            <wp:extent cx="5731510" cy="353758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537585"/>
                    </a:xfrm>
                    <a:prstGeom prst="rect">
                      <a:avLst/>
                    </a:prstGeom>
                  </pic:spPr>
                </pic:pic>
              </a:graphicData>
            </a:graphic>
          </wp:inline>
        </w:drawing>
      </w:r>
    </w:p>
    <w:p w:rsidR="004D04CE" w:rsidRDefault="004D04CE" w:rsidP="001D4B36">
      <w:r>
        <w:t xml:space="preserve">It is clear to see commodities (GSCI) have continued to underperform since its most recent peak in 2008. Zoomed in to confirm its much more obvious. </w:t>
      </w:r>
    </w:p>
    <w:p w:rsidR="004D04CE" w:rsidRDefault="004D04CE" w:rsidP="001D4B36">
      <w:r>
        <w:rPr>
          <w:noProof/>
          <w:lang w:eastAsia="en-AU"/>
        </w:rPr>
        <w:lastRenderedPageBreak/>
        <w:drawing>
          <wp:inline distT="0" distB="0" distL="0" distR="0" wp14:anchorId="61444D86" wp14:editId="20A8EAEA">
            <wp:extent cx="5731510" cy="353758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537585"/>
                    </a:xfrm>
                    <a:prstGeom prst="rect">
                      <a:avLst/>
                    </a:prstGeom>
                  </pic:spPr>
                </pic:pic>
              </a:graphicData>
            </a:graphic>
          </wp:inline>
        </w:drawing>
      </w:r>
    </w:p>
    <w:p w:rsidR="004D04CE" w:rsidRDefault="00265C86" w:rsidP="001D4B36">
      <w:r>
        <w:t>Replicating performance statistics over the same set of asset classes we get very similar results to Faber’s research confirming the visual check above that the data is accurate.</w:t>
      </w:r>
    </w:p>
    <w:tbl>
      <w:tblPr>
        <w:tblW w:w="5000" w:type="pct"/>
        <w:jc w:val="center"/>
        <w:tblCellMar>
          <w:left w:w="0" w:type="dxa"/>
          <w:right w:w="0" w:type="dxa"/>
        </w:tblCellMar>
        <w:tblLook w:val="04A0" w:firstRow="1" w:lastRow="0" w:firstColumn="1" w:lastColumn="0" w:noHBand="0" w:noVBand="1"/>
      </w:tblPr>
      <w:tblGrid>
        <w:gridCol w:w="2105"/>
        <w:gridCol w:w="946"/>
        <w:gridCol w:w="1195"/>
        <w:gridCol w:w="1195"/>
        <w:gridCol w:w="1195"/>
        <w:gridCol w:w="1195"/>
        <w:gridCol w:w="1195"/>
      </w:tblGrid>
      <w:tr w:rsidR="00265C86" w:rsidTr="00CF1311">
        <w:trPr>
          <w:trHeight w:val="450"/>
          <w:jc w:val="center"/>
        </w:trPr>
        <w:tc>
          <w:tcPr>
            <w:tcW w:w="5000" w:type="pct"/>
            <w:gridSpan w:val="7"/>
            <w:tcBorders>
              <w:top w:val="nil"/>
              <w:left w:val="nil"/>
              <w:bottom w:val="nil"/>
              <w:right w:val="nil"/>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b/>
                <w:bCs/>
                <w:color w:val="000000"/>
              </w:rPr>
            </w:pPr>
            <w:r>
              <w:rPr>
                <w:rFonts w:ascii="Calibri" w:hAnsi="Calibri" w:cs="Calibri"/>
                <w:b/>
                <w:bCs/>
                <w:color w:val="000000"/>
              </w:rPr>
              <w:t>Figure 4 - Asset Class Maximum Drawdowns 1973-2012</w:t>
            </w:r>
          </w:p>
        </w:tc>
      </w:tr>
      <w:tr w:rsidR="00265C86" w:rsidTr="00CF1311">
        <w:trPr>
          <w:trHeight w:val="450"/>
          <w:jc w:val="center"/>
        </w:trPr>
        <w:tc>
          <w:tcPr>
            <w:tcW w:w="1166"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 </w:t>
            </w:r>
          </w:p>
        </w:tc>
        <w:tc>
          <w:tcPr>
            <w:tcW w:w="524"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TBILLS</w:t>
            </w:r>
          </w:p>
        </w:tc>
        <w:tc>
          <w:tcPr>
            <w:tcW w:w="66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SP500</w:t>
            </w:r>
          </w:p>
        </w:tc>
        <w:tc>
          <w:tcPr>
            <w:tcW w:w="66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EAFE</w:t>
            </w:r>
          </w:p>
        </w:tc>
        <w:tc>
          <w:tcPr>
            <w:tcW w:w="66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US10YR</w:t>
            </w:r>
          </w:p>
        </w:tc>
        <w:tc>
          <w:tcPr>
            <w:tcW w:w="66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GSCI</w:t>
            </w:r>
          </w:p>
        </w:tc>
        <w:tc>
          <w:tcPr>
            <w:tcW w:w="66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NAREIT</w:t>
            </w:r>
          </w:p>
        </w:tc>
      </w:tr>
      <w:tr w:rsidR="00265C86" w:rsidTr="00CF1311">
        <w:trPr>
          <w:trHeight w:val="60"/>
          <w:jc w:val="center"/>
        </w:trPr>
        <w:tc>
          <w:tcPr>
            <w:tcW w:w="1166"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rPr>
                <w:rFonts w:ascii="Calibri" w:hAnsi="Calibri" w:cs="Calibri"/>
                <w:color w:val="000000"/>
              </w:rPr>
            </w:pPr>
            <w:r>
              <w:rPr>
                <w:rFonts w:ascii="Calibri" w:hAnsi="Calibri" w:cs="Calibri"/>
                <w:color w:val="000000"/>
              </w:rPr>
              <w:t>Return</w:t>
            </w:r>
          </w:p>
        </w:tc>
        <w:tc>
          <w:tcPr>
            <w:tcW w:w="52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5.42%</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9.77%</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9.19%</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8.12%</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8.34%</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9.64%</w:t>
            </w:r>
          </w:p>
        </w:tc>
      </w:tr>
      <w:tr w:rsidR="00265C86" w:rsidTr="00CF1311">
        <w:trPr>
          <w:trHeight w:val="450"/>
          <w:jc w:val="center"/>
        </w:trPr>
        <w:tc>
          <w:tcPr>
            <w:tcW w:w="1166"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rPr>
                <w:rFonts w:ascii="Calibri" w:hAnsi="Calibri" w:cs="Calibri"/>
                <w:color w:val="000000"/>
              </w:rPr>
            </w:pPr>
            <w:r>
              <w:rPr>
                <w:rFonts w:ascii="Calibri" w:hAnsi="Calibri" w:cs="Calibri"/>
                <w:color w:val="000000"/>
              </w:rPr>
              <w:t>Volatility</w:t>
            </w:r>
          </w:p>
        </w:tc>
        <w:tc>
          <w:tcPr>
            <w:tcW w:w="52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0.95%</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15.71%</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17.60%</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8.47%</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20.55%</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18.16%</w:t>
            </w:r>
          </w:p>
        </w:tc>
      </w:tr>
      <w:tr w:rsidR="00265C86" w:rsidTr="00CF1311">
        <w:trPr>
          <w:trHeight w:val="450"/>
          <w:jc w:val="center"/>
        </w:trPr>
        <w:tc>
          <w:tcPr>
            <w:tcW w:w="1166"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rPr>
                <w:rFonts w:ascii="Calibri" w:hAnsi="Calibri" w:cs="Calibri"/>
                <w:color w:val="000000"/>
              </w:rPr>
            </w:pPr>
            <w:r>
              <w:rPr>
                <w:rFonts w:ascii="Calibri" w:hAnsi="Calibri" w:cs="Calibri"/>
                <w:color w:val="000000"/>
              </w:rPr>
              <w:t>Sharpe (??%)</w:t>
            </w:r>
          </w:p>
        </w:tc>
        <w:tc>
          <w:tcPr>
            <w:tcW w:w="52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0.00</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0.26</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0.20</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0.30</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0.13</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0.22</w:t>
            </w:r>
          </w:p>
        </w:tc>
      </w:tr>
      <w:tr w:rsidR="00265C86" w:rsidTr="00CF1311">
        <w:trPr>
          <w:trHeight w:val="450"/>
          <w:jc w:val="center"/>
        </w:trPr>
        <w:tc>
          <w:tcPr>
            <w:tcW w:w="1166"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rPr>
                <w:rFonts w:ascii="Calibri" w:hAnsi="Calibri" w:cs="Calibri"/>
                <w:color w:val="000000"/>
              </w:rPr>
            </w:pPr>
            <w:r>
              <w:rPr>
                <w:rFonts w:ascii="Calibri" w:hAnsi="Calibri" w:cs="Calibri"/>
                <w:color w:val="000000"/>
              </w:rPr>
              <w:t>MaxDD</w:t>
            </w:r>
          </w:p>
        </w:tc>
        <w:tc>
          <w:tcPr>
            <w:tcW w:w="52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0.00%</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FF0000"/>
              </w:rPr>
              <w:t>-50.95%</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FF0000"/>
              </w:rPr>
              <w:t>-56.40%</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FF0000"/>
              </w:rPr>
              <w:t>-15.75%</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FF0000"/>
              </w:rPr>
              <w:t>-67.65%</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FF0000"/>
              </w:rPr>
              <w:t>-68.18%</w:t>
            </w:r>
          </w:p>
        </w:tc>
      </w:tr>
      <w:tr w:rsidR="00265C86" w:rsidTr="00CF1311">
        <w:trPr>
          <w:trHeight w:val="450"/>
          <w:jc w:val="center"/>
        </w:trPr>
        <w:tc>
          <w:tcPr>
            <w:tcW w:w="1166"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rPr>
                <w:rFonts w:ascii="Calibri" w:hAnsi="Calibri" w:cs="Calibri"/>
                <w:color w:val="000000"/>
              </w:rPr>
            </w:pPr>
            <w:r>
              <w:rPr>
                <w:rFonts w:ascii="Calibri" w:hAnsi="Calibri" w:cs="Calibri"/>
                <w:color w:val="000000"/>
              </w:rPr>
              <w:t>Inflation CAGR</w:t>
            </w:r>
          </w:p>
        </w:tc>
        <w:tc>
          <w:tcPr>
            <w:tcW w:w="524"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4.33%</w:t>
            </w:r>
          </w:p>
        </w:tc>
        <w:tc>
          <w:tcPr>
            <w:tcW w:w="66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4.33%</w:t>
            </w:r>
          </w:p>
        </w:tc>
        <w:tc>
          <w:tcPr>
            <w:tcW w:w="66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4.33%</w:t>
            </w:r>
          </w:p>
        </w:tc>
        <w:tc>
          <w:tcPr>
            <w:tcW w:w="66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4.33%</w:t>
            </w:r>
          </w:p>
        </w:tc>
        <w:tc>
          <w:tcPr>
            <w:tcW w:w="66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4.33%</w:t>
            </w:r>
          </w:p>
        </w:tc>
        <w:tc>
          <w:tcPr>
            <w:tcW w:w="66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4.33%</w:t>
            </w:r>
          </w:p>
        </w:tc>
      </w:tr>
    </w:tbl>
    <w:p w:rsidR="00265C86" w:rsidRDefault="00265C86" w:rsidP="001D4B36"/>
    <w:p w:rsidR="00265C86" w:rsidRDefault="00265C86" w:rsidP="001D4B36">
      <w:r>
        <w:t>Comparing to Fabers original numbers we see these small differences: (should this be in appendix with a comment saying comfortable obtained data represents the same asset classes?)</w:t>
      </w:r>
    </w:p>
    <w:tbl>
      <w:tblPr>
        <w:tblW w:w="5000" w:type="pct"/>
        <w:jc w:val="center"/>
        <w:tblCellMar>
          <w:left w:w="0" w:type="dxa"/>
          <w:right w:w="0" w:type="dxa"/>
        </w:tblCellMar>
        <w:tblLook w:val="04A0" w:firstRow="1" w:lastRow="0" w:firstColumn="1" w:lastColumn="0" w:noHBand="0" w:noVBand="1"/>
      </w:tblPr>
      <w:tblGrid>
        <w:gridCol w:w="2338"/>
        <w:gridCol w:w="1051"/>
        <w:gridCol w:w="1016"/>
        <w:gridCol w:w="1132"/>
        <w:gridCol w:w="1267"/>
        <w:gridCol w:w="1013"/>
        <w:gridCol w:w="1209"/>
      </w:tblGrid>
      <w:tr w:rsidR="00265C86" w:rsidTr="00960353">
        <w:trPr>
          <w:cantSplit/>
          <w:trHeight w:val="315"/>
          <w:jc w:val="center"/>
        </w:trPr>
        <w:tc>
          <w:tcPr>
            <w:tcW w:w="5000" w:type="pct"/>
            <w:gridSpan w:val="7"/>
            <w:tcBorders>
              <w:top w:val="nil"/>
              <w:left w:val="nil"/>
              <w:bottom w:val="nil"/>
              <w:right w:val="nil"/>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b/>
                <w:bCs/>
                <w:color w:val="000000"/>
              </w:rPr>
            </w:pPr>
            <w:r>
              <w:rPr>
                <w:rFonts w:ascii="Calibri" w:hAnsi="Calibri" w:cs="Calibri"/>
                <w:b/>
                <w:bCs/>
                <w:color w:val="000000"/>
              </w:rPr>
              <w:t>Figure 5 - Differences to Faber's Original Research 1973-2012</w:t>
            </w:r>
          </w:p>
        </w:tc>
      </w:tr>
      <w:tr w:rsidR="00265C86" w:rsidTr="00960353">
        <w:trPr>
          <w:cantSplit/>
          <w:trHeight w:val="315"/>
          <w:jc w:val="center"/>
        </w:trPr>
        <w:tc>
          <w:tcPr>
            <w:tcW w:w="1295"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 </w:t>
            </w:r>
          </w:p>
        </w:tc>
        <w:tc>
          <w:tcPr>
            <w:tcW w:w="582"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TBILLS</w:t>
            </w:r>
          </w:p>
        </w:tc>
        <w:tc>
          <w:tcPr>
            <w:tcW w:w="563"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SP500</w:t>
            </w:r>
          </w:p>
        </w:tc>
        <w:tc>
          <w:tcPr>
            <w:tcW w:w="62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EAFE</w:t>
            </w:r>
          </w:p>
        </w:tc>
        <w:tc>
          <w:tcPr>
            <w:tcW w:w="70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US10YR</w:t>
            </w:r>
          </w:p>
        </w:tc>
        <w:tc>
          <w:tcPr>
            <w:tcW w:w="561"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GSCI</w:t>
            </w:r>
          </w:p>
        </w:tc>
        <w:tc>
          <w:tcPr>
            <w:tcW w:w="669"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NAREIT</w:t>
            </w:r>
          </w:p>
        </w:tc>
      </w:tr>
      <w:tr w:rsidR="00265C86" w:rsidTr="00960353">
        <w:trPr>
          <w:cantSplit/>
          <w:trHeight w:val="300"/>
          <w:jc w:val="center"/>
        </w:trPr>
        <w:tc>
          <w:tcPr>
            <w:tcW w:w="1295"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pPr>
              <w:rPr>
                <w:rFonts w:ascii="Calibri" w:hAnsi="Calibri" w:cs="Calibri"/>
                <w:color w:val="000000"/>
              </w:rPr>
            </w:pPr>
            <w:r>
              <w:rPr>
                <w:rFonts w:ascii="Calibri" w:hAnsi="Calibri" w:cs="Calibri"/>
                <w:color w:val="000000"/>
              </w:rPr>
              <w:t>Return</w:t>
            </w:r>
          </w:p>
        </w:tc>
        <w:tc>
          <w:tcPr>
            <w:tcW w:w="58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0.01%</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0.07%</w:t>
            </w:r>
          </w:p>
        </w:tc>
        <w:tc>
          <w:tcPr>
            <w:tcW w:w="62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0.02%</w:t>
            </w:r>
          </w:p>
        </w:tc>
        <w:tc>
          <w:tcPr>
            <w:tcW w:w="70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-0.06%</w:t>
            </w:r>
          </w:p>
        </w:tc>
        <w:tc>
          <w:tcPr>
            <w:tcW w:w="56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0.02%</w:t>
            </w:r>
          </w:p>
        </w:tc>
        <w:tc>
          <w:tcPr>
            <w:tcW w:w="66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-0.01%</w:t>
            </w:r>
          </w:p>
        </w:tc>
      </w:tr>
      <w:tr w:rsidR="00265C86" w:rsidTr="00960353">
        <w:trPr>
          <w:cantSplit/>
          <w:trHeight w:val="300"/>
          <w:jc w:val="center"/>
        </w:trPr>
        <w:tc>
          <w:tcPr>
            <w:tcW w:w="1295"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pPr>
              <w:rPr>
                <w:rFonts w:ascii="Calibri" w:hAnsi="Calibri" w:cs="Calibri"/>
                <w:color w:val="000000"/>
              </w:rPr>
            </w:pPr>
            <w:r>
              <w:rPr>
                <w:rFonts w:ascii="Calibri" w:hAnsi="Calibri" w:cs="Calibri"/>
                <w:color w:val="000000"/>
              </w:rPr>
              <w:t>Volatility</w:t>
            </w:r>
          </w:p>
        </w:tc>
        <w:tc>
          <w:tcPr>
            <w:tcW w:w="58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0.00%</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0.02%</w:t>
            </w:r>
          </w:p>
        </w:tc>
        <w:tc>
          <w:tcPr>
            <w:tcW w:w="62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-0.01%</w:t>
            </w:r>
          </w:p>
        </w:tc>
        <w:tc>
          <w:tcPr>
            <w:tcW w:w="70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0.03%</w:t>
            </w:r>
          </w:p>
        </w:tc>
        <w:tc>
          <w:tcPr>
            <w:tcW w:w="56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0.00%</w:t>
            </w:r>
          </w:p>
        </w:tc>
        <w:tc>
          <w:tcPr>
            <w:tcW w:w="66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0.03%</w:t>
            </w:r>
          </w:p>
        </w:tc>
      </w:tr>
      <w:tr w:rsidR="00265C86" w:rsidTr="00960353">
        <w:trPr>
          <w:cantSplit/>
          <w:trHeight w:val="300"/>
          <w:jc w:val="center"/>
        </w:trPr>
        <w:tc>
          <w:tcPr>
            <w:tcW w:w="1295"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pPr>
              <w:rPr>
                <w:rFonts w:ascii="Calibri" w:hAnsi="Calibri" w:cs="Calibri"/>
                <w:color w:val="000000"/>
              </w:rPr>
            </w:pPr>
            <w:r>
              <w:rPr>
                <w:rFonts w:ascii="Calibri" w:hAnsi="Calibri" w:cs="Calibri"/>
                <w:color w:val="000000"/>
              </w:rPr>
              <w:t xml:space="preserve">Sharpe </w:t>
            </w:r>
          </w:p>
        </w:tc>
        <w:tc>
          <w:tcPr>
            <w:tcW w:w="58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0.00</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-0.01</w:t>
            </w:r>
          </w:p>
        </w:tc>
        <w:tc>
          <w:tcPr>
            <w:tcW w:w="62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-0.01</w:t>
            </w:r>
          </w:p>
        </w:tc>
        <w:tc>
          <w:tcPr>
            <w:tcW w:w="70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-0.03</w:t>
            </w:r>
          </w:p>
        </w:tc>
        <w:tc>
          <w:tcPr>
            <w:tcW w:w="56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-0.01</w:t>
            </w:r>
          </w:p>
        </w:tc>
        <w:tc>
          <w:tcPr>
            <w:tcW w:w="66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-0.01</w:t>
            </w:r>
          </w:p>
        </w:tc>
      </w:tr>
      <w:tr w:rsidR="00265C86" w:rsidTr="00960353">
        <w:trPr>
          <w:cantSplit/>
          <w:trHeight w:val="300"/>
          <w:jc w:val="center"/>
        </w:trPr>
        <w:tc>
          <w:tcPr>
            <w:tcW w:w="1295"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pPr>
              <w:rPr>
                <w:rFonts w:ascii="Calibri" w:hAnsi="Calibri" w:cs="Calibri"/>
                <w:color w:val="000000"/>
              </w:rPr>
            </w:pPr>
            <w:r>
              <w:rPr>
                <w:rFonts w:ascii="Calibri" w:hAnsi="Calibri" w:cs="Calibri"/>
                <w:color w:val="000000"/>
              </w:rPr>
              <w:t> </w:t>
            </w:r>
          </w:p>
        </w:tc>
        <w:tc>
          <w:tcPr>
            <w:tcW w:w="58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0.00%</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0.00%</w:t>
            </w:r>
          </w:p>
        </w:tc>
        <w:tc>
          <w:tcPr>
            <w:tcW w:w="62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0.00%</w:t>
            </w:r>
          </w:p>
        </w:tc>
        <w:tc>
          <w:tcPr>
            <w:tcW w:w="70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0.04%</w:t>
            </w:r>
          </w:p>
        </w:tc>
        <w:tc>
          <w:tcPr>
            <w:tcW w:w="56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0.00%</w:t>
            </w:r>
          </w:p>
        </w:tc>
        <w:tc>
          <w:tcPr>
            <w:tcW w:w="66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FF0000"/>
              </w:rPr>
              <w:t>-0.30%</w:t>
            </w:r>
          </w:p>
        </w:tc>
      </w:tr>
      <w:tr w:rsidR="00265C86" w:rsidTr="00960353">
        <w:trPr>
          <w:cantSplit/>
          <w:trHeight w:val="315"/>
          <w:jc w:val="center"/>
        </w:trPr>
        <w:tc>
          <w:tcPr>
            <w:tcW w:w="1295"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rPr>
                <w:rFonts w:ascii="Calibri" w:hAnsi="Calibri" w:cs="Calibri"/>
                <w:color w:val="000000"/>
              </w:rPr>
            </w:pPr>
            <w:r>
              <w:rPr>
                <w:rFonts w:ascii="Calibri" w:hAnsi="Calibri" w:cs="Calibri"/>
                <w:color w:val="000000"/>
              </w:rPr>
              <w:lastRenderedPageBreak/>
              <w:t>Inflation CAGR</w:t>
            </w:r>
          </w:p>
        </w:tc>
        <w:tc>
          <w:tcPr>
            <w:tcW w:w="58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0.03%</w:t>
            </w:r>
          </w:p>
        </w:tc>
        <w:tc>
          <w:tcPr>
            <w:tcW w:w="563"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0.03%</w:t>
            </w:r>
          </w:p>
        </w:tc>
        <w:tc>
          <w:tcPr>
            <w:tcW w:w="62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0.03%</w:t>
            </w:r>
          </w:p>
        </w:tc>
        <w:tc>
          <w:tcPr>
            <w:tcW w:w="70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0.03%</w:t>
            </w:r>
          </w:p>
        </w:tc>
        <w:tc>
          <w:tcPr>
            <w:tcW w:w="561"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0.03%</w:t>
            </w:r>
          </w:p>
        </w:tc>
        <w:tc>
          <w:tcPr>
            <w:tcW w:w="669"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0.03%</w:t>
            </w:r>
          </w:p>
        </w:tc>
      </w:tr>
    </w:tbl>
    <w:p w:rsidR="00265C86" w:rsidRDefault="00265C86" w:rsidP="001D4B36"/>
    <w:p w:rsidR="00534BA0" w:rsidRDefault="00534BA0" w:rsidP="00534BA0">
      <w:r>
        <w:t>Differences here to the original paper are small:</w:t>
      </w:r>
    </w:p>
    <w:p w:rsidR="00534BA0" w:rsidRDefault="00534BA0" w:rsidP="00534BA0">
      <w:pPr>
        <w:pStyle w:val="ListParagraph"/>
        <w:numPr>
          <w:ilvl w:val="0"/>
          <w:numId w:val="1"/>
        </w:numPr>
      </w:pPr>
      <w:r>
        <w:t>Differences in returns &lt;0.07%</w:t>
      </w:r>
    </w:p>
    <w:p w:rsidR="00534BA0" w:rsidRDefault="00534BA0" w:rsidP="00534BA0">
      <w:pPr>
        <w:pStyle w:val="ListParagraph"/>
        <w:numPr>
          <w:ilvl w:val="0"/>
          <w:numId w:val="1"/>
        </w:numPr>
      </w:pPr>
      <w:r>
        <w:t>Differences in volatility &lt;0.03%</w:t>
      </w:r>
    </w:p>
    <w:p w:rsidR="00534BA0" w:rsidRDefault="00534BA0" w:rsidP="00534BA0">
      <w:r>
        <w:t>Suspect this is from small differences between data providers. Comfortable using for rest of research.</w:t>
      </w:r>
    </w:p>
    <w:p w:rsidR="00265C86" w:rsidRDefault="00265C86" w:rsidP="001D4B36">
      <w:r>
        <w:t>Next extending this to include 2013-2016:</w:t>
      </w:r>
    </w:p>
    <w:tbl>
      <w:tblPr>
        <w:tblW w:w="5000" w:type="pct"/>
        <w:jc w:val="center"/>
        <w:tblCellMar>
          <w:left w:w="0" w:type="dxa"/>
          <w:right w:w="0" w:type="dxa"/>
        </w:tblCellMar>
        <w:tblLook w:val="04A0" w:firstRow="1" w:lastRow="0" w:firstColumn="1" w:lastColumn="0" w:noHBand="0" w:noVBand="1"/>
      </w:tblPr>
      <w:tblGrid>
        <w:gridCol w:w="2030"/>
        <w:gridCol w:w="877"/>
        <w:gridCol w:w="1108"/>
        <w:gridCol w:w="1098"/>
        <w:gridCol w:w="1695"/>
        <w:gridCol w:w="1108"/>
        <w:gridCol w:w="1110"/>
      </w:tblGrid>
      <w:tr w:rsidR="00265C86" w:rsidTr="00960353">
        <w:trPr>
          <w:trHeight w:val="315"/>
          <w:jc w:val="center"/>
        </w:trPr>
        <w:tc>
          <w:tcPr>
            <w:tcW w:w="5000" w:type="pct"/>
            <w:gridSpan w:val="7"/>
            <w:tcBorders>
              <w:top w:val="nil"/>
              <w:left w:val="nil"/>
              <w:bottom w:val="nil"/>
              <w:right w:val="nil"/>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b/>
                <w:bCs/>
                <w:color w:val="000000"/>
              </w:rPr>
            </w:pPr>
            <w:r>
              <w:rPr>
                <w:rFonts w:ascii="Calibri" w:hAnsi="Calibri" w:cs="Calibri"/>
                <w:b/>
                <w:bCs/>
                <w:color w:val="000000"/>
              </w:rPr>
              <w:t>Figure 6 - Asset Class Maximum Drawdowns 1973-2016</w:t>
            </w:r>
          </w:p>
        </w:tc>
      </w:tr>
      <w:tr w:rsidR="00265C86" w:rsidTr="00960353">
        <w:trPr>
          <w:trHeight w:val="315"/>
          <w:jc w:val="center"/>
        </w:trPr>
        <w:tc>
          <w:tcPr>
            <w:tcW w:w="1124"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 </w:t>
            </w:r>
          </w:p>
        </w:tc>
        <w:tc>
          <w:tcPr>
            <w:tcW w:w="486"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TBILLS</w:t>
            </w:r>
          </w:p>
        </w:tc>
        <w:tc>
          <w:tcPr>
            <w:tcW w:w="614"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SP500</w:t>
            </w:r>
          </w:p>
        </w:tc>
        <w:tc>
          <w:tcPr>
            <w:tcW w:w="608"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EAFE</w:t>
            </w:r>
          </w:p>
        </w:tc>
        <w:tc>
          <w:tcPr>
            <w:tcW w:w="939"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US10YR</w:t>
            </w:r>
          </w:p>
        </w:tc>
        <w:tc>
          <w:tcPr>
            <w:tcW w:w="614"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GSCI</w:t>
            </w:r>
          </w:p>
        </w:tc>
        <w:tc>
          <w:tcPr>
            <w:tcW w:w="614"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NAREIT</w:t>
            </w:r>
          </w:p>
        </w:tc>
      </w:tr>
      <w:tr w:rsidR="00265C86" w:rsidTr="00960353">
        <w:trPr>
          <w:trHeight w:val="300"/>
          <w:jc w:val="center"/>
        </w:trPr>
        <w:tc>
          <w:tcPr>
            <w:tcW w:w="1124"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pPr>
              <w:rPr>
                <w:rFonts w:ascii="Calibri" w:hAnsi="Calibri" w:cs="Calibri"/>
                <w:color w:val="000000"/>
              </w:rPr>
            </w:pPr>
            <w:r>
              <w:rPr>
                <w:rFonts w:ascii="Calibri" w:hAnsi="Calibri" w:cs="Calibri"/>
                <w:color w:val="000000"/>
              </w:rPr>
              <w:t>Return</w:t>
            </w:r>
          </w:p>
        </w:tc>
        <w:tc>
          <w:tcPr>
            <w:tcW w:w="48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4.93%</w:t>
            </w:r>
          </w:p>
        </w:tc>
        <w:tc>
          <w:tcPr>
            <w:tcW w:w="6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10.18%</w:t>
            </w:r>
          </w:p>
        </w:tc>
        <w:tc>
          <w:tcPr>
            <w:tcW w:w="60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8.75%</w:t>
            </w:r>
          </w:p>
        </w:tc>
        <w:tc>
          <w:tcPr>
            <w:tcW w:w="9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7.41%</w:t>
            </w:r>
          </w:p>
        </w:tc>
        <w:tc>
          <w:tcPr>
            <w:tcW w:w="6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5.85%</w:t>
            </w:r>
          </w:p>
        </w:tc>
        <w:tc>
          <w:tcPr>
            <w:tcW w:w="6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9.65%</w:t>
            </w:r>
          </w:p>
        </w:tc>
      </w:tr>
      <w:tr w:rsidR="00265C86" w:rsidTr="00960353">
        <w:trPr>
          <w:trHeight w:val="300"/>
          <w:jc w:val="center"/>
        </w:trPr>
        <w:tc>
          <w:tcPr>
            <w:tcW w:w="1124"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pPr>
              <w:rPr>
                <w:rFonts w:ascii="Calibri" w:hAnsi="Calibri" w:cs="Calibri"/>
                <w:color w:val="000000"/>
              </w:rPr>
            </w:pPr>
            <w:r>
              <w:rPr>
                <w:rFonts w:ascii="Calibri" w:hAnsi="Calibri" w:cs="Calibri"/>
                <w:color w:val="000000"/>
              </w:rPr>
              <w:t>Volatility</w:t>
            </w:r>
          </w:p>
        </w:tc>
        <w:tc>
          <w:tcPr>
            <w:tcW w:w="48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1.00%</w:t>
            </w:r>
          </w:p>
        </w:tc>
        <w:tc>
          <w:tcPr>
            <w:tcW w:w="6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15.30%</w:t>
            </w:r>
          </w:p>
        </w:tc>
        <w:tc>
          <w:tcPr>
            <w:tcW w:w="60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17.21%</w:t>
            </w:r>
          </w:p>
        </w:tc>
        <w:tc>
          <w:tcPr>
            <w:tcW w:w="9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8.33%</w:t>
            </w:r>
          </w:p>
        </w:tc>
        <w:tc>
          <w:tcPr>
            <w:tcW w:w="6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20.52%</w:t>
            </w:r>
          </w:p>
        </w:tc>
        <w:tc>
          <w:tcPr>
            <w:tcW w:w="6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17.81%</w:t>
            </w:r>
          </w:p>
        </w:tc>
      </w:tr>
      <w:tr w:rsidR="00265C86" w:rsidTr="00960353">
        <w:trPr>
          <w:trHeight w:val="300"/>
          <w:jc w:val="center"/>
        </w:trPr>
        <w:tc>
          <w:tcPr>
            <w:tcW w:w="1124"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pPr>
              <w:rPr>
                <w:rFonts w:ascii="Calibri" w:hAnsi="Calibri" w:cs="Calibri"/>
                <w:color w:val="000000"/>
              </w:rPr>
            </w:pPr>
            <w:r>
              <w:rPr>
                <w:rFonts w:ascii="Calibri" w:hAnsi="Calibri" w:cs="Calibri"/>
                <w:color w:val="000000"/>
              </w:rPr>
              <w:t>Sharpe (5.41%)</w:t>
            </w:r>
          </w:p>
        </w:tc>
        <w:tc>
          <w:tcPr>
            <w:tcW w:w="48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0.00</w:t>
            </w:r>
          </w:p>
        </w:tc>
        <w:tc>
          <w:tcPr>
            <w:tcW w:w="6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0.33</w:t>
            </w:r>
          </w:p>
        </w:tc>
        <w:tc>
          <w:tcPr>
            <w:tcW w:w="60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0.21</w:t>
            </w:r>
          </w:p>
        </w:tc>
        <w:tc>
          <w:tcPr>
            <w:tcW w:w="9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0.28</w:t>
            </w:r>
          </w:p>
        </w:tc>
        <w:tc>
          <w:tcPr>
            <w:tcW w:w="6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0.04</w:t>
            </w:r>
          </w:p>
        </w:tc>
        <w:tc>
          <w:tcPr>
            <w:tcW w:w="6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0.25</w:t>
            </w:r>
          </w:p>
        </w:tc>
      </w:tr>
      <w:tr w:rsidR="00265C86" w:rsidTr="00960353">
        <w:trPr>
          <w:trHeight w:val="300"/>
          <w:jc w:val="center"/>
        </w:trPr>
        <w:tc>
          <w:tcPr>
            <w:tcW w:w="1124"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pPr>
              <w:rPr>
                <w:rFonts w:ascii="Calibri" w:hAnsi="Calibri" w:cs="Calibri"/>
                <w:color w:val="000000"/>
              </w:rPr>
            </w:pPr>
            <w:r>
              <w:rPr>
                <w:rFonts w:ascii="Calibri" w:hAnsi="Calibri" w:cs="Calibri"/>
                <w:color w:val="000000"/>
              </w:rPr>
              <w:t>MaxDD</w:t>
            </w:r>
          </w:p>
        </w:tc>
        <w:tc>
          <w:tcPr>
            <w:tcW w:w="48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0.00%</w:t>
            </w:r>
          </w:p>
        </w:tc>
        <w:tc>
          <w:tcPr>
            <w:tcW w:w="6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FF0000"/>
              </w:rPr>
              <w:t>-50.95%</w:t>
            </w:r>
          </w:p>
        </w:tc>
        <w:tc>
          <w:tcPr>
            <w:tcW w:w="60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FF0000"/>
              </w:rPr>
              <w:t>-56.40%</w:t>
            </w:r>
          </w:p>
        </w:tc>
        <w:tc>
          <w:tcPr>
            <w:tcW w:w="9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FF0000"/>
              </w:rPr>
              <w:t>-15.75%</w:t>
            </w:r>
          </w:p>
        </w:tc>
        <w:tc>
          <w:tcPr>
            <w:tcW w:w="6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FF0000"/>
              </w:rPr>
              <w:t>-80.90%</w:t>
            </w:r>
          </w:p>
        </w:tc>
        <w:tc>
          <w:tcPr>
            <w:tcW w:w="6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FF0000"/>
              </w:rPr>
              <w:t>-68.18%</w:t>
            </w:r>
          </w:p>
        </w:tc>
      </w:tr>
      <w:tr w:rsidR="00265C86" w:rsidTr="00960353">
        <w:trPr>
          <w:trHeight w:val="315"/>
          <w:jc w:val="center"/>
        </w:trPr>
        <w:tc>
          <w:tcPr>
            <w:tcW w:w="1124"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rPr>
                <w:rFonts w:ascii="Calibri" w:hAnsi="Calibri" w:cs="Calibri"/>
                <w:color w:val="000000"/>
              </w:rPr>
            </w:pPr>
            <w:r>
              <w:rPr>
                <w:rFonts w:ascii="Calibri" w:hAnsi="Calibri" w:cs="Calibri"/>
                <w:color w:val="000000"/>
              </w:rPr>
              <w:t>Inflation CAGR</w:t>
            </w:r>
          </w:p>
        </w:tc>
        <w:tc>
          <w:tcPr>
            <w:tcW w:w="486"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4.04%</w:t>
            </w:r>
          </w:p>
        </w:tc>
        <w:tc>
          <w:tcPr>
            <w:tcW w:w="614"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4.04%</w:t>
            </w:r>
          </w:p>
        </w:tc>
        <w:tc>
          <w:tcPr>
            <w:tcW w:w="608"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4.04%</w:t>
            </w:r>
          </w:p>
        </w:tc>
        <w:tc>
          <w:tcPr>
            <w:tcW w:w="939"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4.04%</w:t>
            </w:r>
          </w:p>
        </w:tc>
        <w:tc>
          <w:tcPr>
            <w:tcW w:w="614"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4.04%</w:t>
            </w:r>
          </w:p>
        </w:tc>
        <w:tc>
          <w:tcPr>
            <w:tcW w:w="614"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4.04%</w:t>
            </w:r>
          </w:p>
        </w:tc>
      </w:tr>
    </w:tbl>
    <w:p w:rsidR="00265C86" w:rsidRDefault="00265C86" w:rsidP="001D4B36"/>
    <w:p w:rsidR="00265C86" w:rsidRDefault="00265C86" w:rsidP="001D4B36">
      <w:r>
        <w:t xml:space="preserve"> Looking at the effect of the la</w:t>
      </w:r>
      <w:r w:rsidR="00C60EE6">
        <w:t>st 4 years on Faber’s research:</w:t>
      </w:r>
    </w:p>
    <w:tbl>
      <w:tblPr>
        <w:tblW w:w="8520" w:type="dxa"/>
        <w:jc w:val="center"/>
        <w:tblCellMar>
          <w:left w:w="0" w:type="dxa"/>
          <w:right w:w="0" w:type="dxa"/>
        </w:tblCellMar>
        <w:tblLook w:val="04A0" w:firstRow="1" w:lastRow="0" w:firstColumn="1" w:lastColumn="0" w:noHBand="0" w:noVBand="1"/>
      </w:tblPr>
      <w:tblGrid>
        <w:gridCol w:w="2151"/>
        <w:gridCol w:w="1001"/>
        <w:gridCol w:w="1001"/>
        <w:gridCol w:w="1001"/>
        <w:gridCol w:w="1121"/>
        <w:gridCol w:w="1175"/>
        <w:gridCol w:w="1070"/>
      </w:tblGrid>
      <w:tr w:rsidR="00C60EE6" w:rsidTr="00C60EE6">
        <w:trPr>
          <w:trHeight w:val="315"/>
          <w:jc w:val="center"/>
        </w:trPr>
        <w:tc>
          <w:tcPr>
            <w:tcW w:w="8520" w:type="dxa"/>
            <w:gridSpan w:val="7"/>
            <w:tcBorders>
              <w:top w:val="nil"/>
              <w:left w:val="nil"/>
              <w:bottom w:val="nil"/>
              <w:right w:val="nil"/>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b/>
                <w:bCs/>
                <w:color w:val="000000"/>
              </w:rPr>
            </w:pPr>
            <w:r>
              <w:rPr>
                <w:rFonts w:ascii="Calibri" w:hAnsi="Calibri" w:cs="Calibri"/>
                <w:b/>
                <w:bCs/>
                <w:color w:val="000000"/>
              </w:rPr>
              <w:t>Figure 7 - Changes to Asset Class Maximum Drawdowns 1973-2016</w:t>
            </w:r>
          </w:p>
        </w:tc>
      </w:tr>
      <w:tr w:rsidR="00C60EE6" w:rsidTr="00C60EE6">
        <w:trPr>
          <w:trHeight w:val="315"/>
          <w:jc w:val="center"/>
        </w:trPr>
        <w:tc>
          <w:tcPr>
            <w:tcW w:w="0" w:type="auto"/>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 </w:t>
            </w:r>
          </w:p>
        </w:tc>
        <w:tc>
          <w:tcPr>
            <w:tcW w:w="0" w:type="auto"/>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TBILLS</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SP500</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EAFE</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US10YR</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GSCI</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NAREIT</w:t>
            </w:r>
          </w:p>
        </w:tc>
      </w:tr>
      <w:tr w:rsidR="00C60EE6" w:rsidTr="00C60EE6">
        <w:trPr>
          <w:trHeight w:val="300"/>
          <w:jc w:val="center"/>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C60EE6" w:rsidRDefault="00C60EE6">
            <w:pPr>
              <w:rPr>
                <w:rFonts w:ascii="Calibri" w:hAnsi="Calibri" w:cs="Calibri"/>
                <w:color w:val="000000"/>
              </w:rPr>
            </w:pPr>
            <w:r>
              <w:rPr>
                <w:rFonts w:ascii="Calibri" w:hAnsi="Calibri" w:cs="Calibri"/>
                <w:color w:val="000000"/>
              </w:rPr>
              <w:t>Return</w:t>
            </w:r>
          </w:p>
        </w:tc>
        <w:tc>
          <w:tcPr>
            <w:tcW w:w="0" w:type="auto"/>
            <w:tcBorders>
              <w:top w:val="nil"/>
              <w:left w:val="nil"/>
              <w:bottom w:val="nil"/>
              <w:right w:val="single" w:sz="8" w:space="0" w:color="auto"/>
            </w:tcBorders>
            <w:shd w:val="clear" w:color="000000" w:fill="FFFF00"/>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-0.49%</w:t>
            </w:r>
          </w:p>
        </w:tc>
        <w:tc>
          <w:tcPr>
            <w:tcW w:w="0" w:type="auto"/>
            <w:tcBorders>
              <w:top w:val="nil"/>
              <w:left w:val="nil"/>
              <w:bottom w:val="nil"/>
              <w:right w:val="single" w:sz="8" w:space="0" w:color="auto"/>
            </w:tcBorders>
            <w:shd w:val="clear" w:color="000000" w:fill="FFFF00"/>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0.41%</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-0.44%</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-0.71%</w:t>
            </w:r>
          </w:p>
        </w:tc>
        <w:tc>
          <w:tcPr>
            <w:tcW w:w="0" w:type="auto"/>
            <w:tcBorders>
              <w:top w:val="nil"/>
              <w:left w:val="nil"/>
              <w:bottom w:val="nil"/>
              <w:right w:val="single" w:sz="8" w:space="0" w:color="auto"/>
            </w:tcBorders>
            <w:shd w:val="clear" w:color="000000" w:fill="FFFF00"/>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-2.49%</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0.01%</w:t>
            </w:r>
          </w:p>
        </w:tc>
      </w:tr>
      <w:tr w:rsidR="00C60EE6" w:rsidTr="00C60EE6">
        <w:trPr>
          <w:trHeight w:val="300"/>
          <w:jc w:val="center"/>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C60EE6" w:rsidRDefault="00C60EE6">
            <w:pPr>
              <w:rPr>
                <w:rFonts w:ascii="Calibri" w:hAnsi="Calibri" w:cs="Calibri"/>
                <w:color w:val="000000"/>
              </w:rPr>
            </w:pPr>
            <w:r>
              <w:rPr>
                <w:rFonts w:ascii="Calibri" w:hAnsi="Calibri" w:cs="Calibri"/>
                <w:color w:val="000000"/>
              </w:rPr>
              <w:t>Volatility</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0.05%</w:t>
            </w:r>
          </w:p>
        </w:tc>
        <w:tc>
          <w:tcPr>
            <w:tcW w:w="0" w:type="auto"/>
            <w:tcBorders>
              <w:top w:val="nil"/>
              <w:left w:val="nil"/>
              <w:bottom w:val="nil"/>
              <w:right w:val="single" w:sz="8" w:space="0" w:color="auto"/>
            </w:tcBorders>
            <w:shd w:val="clear" w:color="000000" w:fill="FFFF00"/>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-0.41%</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-0.39%</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-0.14%</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-0.03%</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-0.35%</w:t>
            </w:r>
          </w:p>
        </w:tc>
      </w:tr>
      <w:tr w:rsidR="00C60EE6" w:rsidTr="00C60EE6">
        <w:trPr>
          <w:trHeight w:val="300"/>
          <w:jc w:val="center"/>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C60EE6" w:rsidRDefault="00C60EE6">
            <w:pPr>
              <w:rPr>
                <w:rFonts w:ascii="Calibri" w:hAnsi="Calibri" w:cs="Calibri"/>
                <w:color w:val="000000"/>
              </w:rPr>
            </w:pPr>
            <w:r>
              <w:rPr>
                <w:rFonts w:ascii="Calibri" w:hAnsi="Calibri" w:cs="Calibri"/>
                <w:color w:val="000000"/>
              </w:rPr>
              <w:t>Sharpe (5.41%)</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0.06</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0.01</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-0.02</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-0.09</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0.03</w:t>
            </w:r>
          </w:p>
        </w:tc>
      </w:tr>
      <w:tr w:rsidR="00C60EE6" w:rsidTr="00C60EE6">
        <w:trPr>
          <w:trHeight w:val="300"/>
          <w:jc w:val="center"/>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C60EE6" w:rsidRDefault="00C60EE6">
            <w:pPr>
              <w:rPr>
                <w:rFonts w:ascii="Calibri" w:hAnsi="Calibri" w:cs="Calibri"/>
                <w:color w:val="000000"/>
              </w:rPr>
            </w:pPr>
            <w:r>
              <w:rPr>
                <w:rFonts w:ascii="Calibri" w:hAnsi="Calibri" w:cs="Calibri"/>
                <w:color w:val="000000"/>
              </w:rPr>
              <w:t>MaxDD</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0.00%</w:t>
            </w:r>
          </w:p>
        </w:tc>
        <w:tc>
          <w:tcPr>
            <w:tcW w:w="0" w:type="auto"/>
            <w:tcBorders>
              <w:top w:val="nil"/>
              <w:left w:val="nil"/>
              <w:bottom w:val="nil"/>
              <w:right w:val="single" w:sz="8" w:space="0" w:color="auto"/>
            </w:tcBorders>
            <w:shd w:val="clear" w:color="000000" w:fill="FFFF00"/>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FF0000"/>
              </w:rPr>
              <w:t>-13.25%</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0.00%</w:t>
            </w:r>
          </w:p>
        </w:tc>
      </w:tr>
      <w:tr w:rsidR="00C60EE6" w:rsidTr="00C60EE6">
        <w:trPr>
          <w:trHeight w:val="315"/>
          <w:jc w:val="center"/>
        </w:trPr>
        <w:tc>
          <w:tcPr>
            <w:tcW w:w="0" w:type="auto"/>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rPr>
                <w:rFonts w:ascii="Calibri" w:hAnsi="Calibri" w:cs="Calibri"/>
                <w:color w:val="000000"/>
              </w:rPr>
            </w:pPr>
            <w:r>
              <w:rPr>
                <w:rFonts w:ascii="Calibri" w:hAnsi="Calibri" w:cs="Calibri"/>
                <w:color w:val="000000"/>
              </w:rPr>
              <w:t>Inflation CAGR</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-0.29%</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-0.29%</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-0.29%</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-0.29%</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-0.29%</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-0.29%</w:t>
            </w:r>
          </w:p>
        </w:tc>
      </w:tr>
      <w:tr w:rsidR="00C60EE6" w:rsidTr="00C60EE6">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60EE6" w:rsidRDefault="00C60EE6">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60EE6" w:rsidRDefault="00C60EE6">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60EE6" w:rsidRDefault="00C60EE6">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60EE6" w:rsidRDefault="00C60EE6">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60EE6" w:rsidRDefault="00C60EE6">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60EE6" w:rsidRDefault="00C60EE6">
            <w:pPr>
              <w:rPr>
                <w:sz w:val="20"/>
                <w:szCs w:val="20"/>
              </w:rPr>
            </w:pPr>
          </w:p>
        </w:tc>
      </w:tr>
      <w:tr w:rsidR="00C60EE6" w:rsidTr="00C60EE6">
        <w:trPr>
          <w:trHeight w:val="315"/>
          <w:jc w:val="center"/>
        </w:trPr>
        <w:tc>
          <w:tcPr>
            <w:tcW w:w="0" w:type="auto"/>
            <w:gridSpan w:val="7"/>
            <w:tcBorders>
              <w:top w:val="nil"/>
              <w:left w:val="nil"/>
              <w:bottom w:val="nil"/>
              <w:right w:val="nil"/>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b/>
                <w:bCs/>
                <w:color w:val="000000"/>
              </w:rPr>
            </w:pPr>
            <w:r>
              <w:rPr>
                <w:rFonts w:ascii="Calibri" w:hAnsi="Calibri" w:cs="Calibri"/>
                <w:b/>
                <w:bCs/>
                <w:color w:val="000000"/>
              </w:rPr>
              <w:t>Figure 8 - Changes to Asset Class Maximum Drawdowns 1973-2016</w:t>
            </w:r>
          </w:p>
        </w:tc>
      </w:tr>
      <w:tr w:rsidR="00C60EE6" w:rsidTr="00C60EE6">
        <w:trPr>
          <w:trHeight w:val="315"/>
          <w:jc w:val="center"/>
        </w:trPr>
        <w:tc>
          <w:tcPr>
            <w:tcW w:w="0" w:type="auto"/>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 </w:t>
            </w:r>
          </w:p>
        </w:tc>
        <w:tc>
          <w:tcPr>
            <w:tcW w:w="0" w:type="auto"/>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TBILLS</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SP500</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EAFE</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US10YR</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GSCI</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NAREIT</w:t>
            </w:r>
          </w:p>
        </w:tc>
      </w:tr>
      <w:tr w:rsidR="00C60EE6" w:rsidTr="00C60EE6">
        <w:trPr>
          <w:trHeight w:val="300"/>
          <w:jc w:val="center"/>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C60EE6" w:rsidRDefault="00C60EE6">
            <w:pPr>
              <w:rPr>
                <w:rFonts w:ascii="Calibri" w:hAnsi="Calibri" w:cs="Calibri"/>
                <w:color w:val="000000"/>
              </w:rPr>
            </w:pPr>
            <w:r>
              <w:rPr>
                <w:rFonts w:ascii="Calibri" w:hAnsi="Calibri" w:cs="Calibri"/>
                <w:color w:val="000000"/>
              </w:rPr>
              <w:t>Return</w:t>
            </w:r>
          </w:p>
        </w:tc>
        <w:tc>
          <w:tcPr>
            <w:tcW w:w="0" w:type="auto"/>
            <w:tcBorders>
              <w:top w:val="nil"/>
              <w:left w:val="nil"/>
              <w:bottom w:val="nil"/>
              <w:right w:val="single" w:sz="8" w:space="0" w:color="auto"/>
            </w:tcBorders>
            <w:shd w:val="clear" w:color="000000" w:fill="FFFF00"/>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-8.87%</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4.95%</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-4.58%</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-9.41%</w:t>
            </w:r>
          </w:p>
        </w:tc>
        <w:tc>
          <w:tcPr>
            <w:tcW w:w="0" w:type="auto"/>
            <w:tcBorders>
              <w:top w:val="nil"/>
              <w:left w:val="nil"/>
              <w:bottom w:val="nil"/>
              <w:right w:val="single" w:sz="8" w:space="0" w:color="auto"/>
            </w:tcBorders>
            <w:shd w:val="clear" w:color="000000" w:fill="FFFF00"/>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-29.69%</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0.00%</w:t>
            </w:r>
          </w:p>
        </w:tc>
      </w:tr>
      <w:tr w:rsidR="00C60EE6" w:rsidTr="00C60EE6">
        <w:trPr>
          <w:trHeight w:val="300"/>
          <w:jc w:val="center"/>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C60EE6" w:rsidRDefault="00C60EE6">
            <w:pPr>
              <w:rPr>
                <w:rFonts w:ascii="Calibri" w:hAnsi="Calibri" w:cs="Calibri"/>
                <w:color w:val="000000"/>
              </w:rPr>
            </w:pPr>
            <w:r>
              <w:rPr>
                <w:rFonts w:ascii="Calibri" w:hAnsi="Calibri" w:cs="Calibri"/>
                <w:color w:val="000000"/>
              </w:rPr>
              <w:t>Volatility</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5.26%</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-2.49%</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-2.27%</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-1.30%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-0.15%</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-1.77%</w:t>
            </w:r>
          </w:p>
        </w:tc>
      </w:tr>
      <w:tr w:rsidR="00C60EE6" w:rsidTr="00C60EE6">
        <w:trPr>
          <w:trHeight w:val="300"/>
          <w:jc w:val="center"/>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C60EE6" w:rsidRDefault="00C60EE6">
            <w:pPr>
              <w:rPr>
                <w:rFonts w:ascii="Calibri" w:hAnsi="Calibri" w:cs="Calibri"/>
                <w:color w:val="000000"/>
              </w:rPr>
            </w:pPr>
            <w:r>
              <w:rPr>
                <w:rFonts w:ascii="Calibri" w:hAnsi="Calibri" w:cs="Calibri"/>
                <w:color w:val="000000"/>
              </w:rPr>
              <w:t>Sharpe (5.41%)</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0.21</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0.01</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-0.14</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-0.70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0.10</w:t>
            </w:r>
          </w:p>
        </w:tc>
      </w:tr>
      <w:tr w:rsidR="00C60EE6" w:rsidTr="00C60EE6">
        <w:trPr>
          <w:trHeight w:val="300"/>
          <w:jc w:val="center"/>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C60EE6" w:rsidRDefault="00C60EE6">
            <w:pPr>
              <w:rPr>
                <w:rFonts w:ascii="Calibri" w:hAnsi="Calibri" w:cs="Calibri"/>
                <w:color w:val="000000"/>
              </w:rPr>
            </w:pPr>
            <w:r>
              <w:rPr>
                <w:rFonts w:ascii="Calibri" w:hAnsi="Calibri" w:cs="Calibri"/>
                <w:color w:val="000000"/>
              </w:rPr>
              <w:t>MaxDD</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FF0000"/>
              </w:rPr>
              <w:t>-0.25%</w:t>
            </w:r>
          </w:p>
        </w:tc>
        <w:tc>
          <w:tcPr>
            <w:tcW w:w="0" w:type="auto"/>
            <w:tcBorders>
              <w:top w:val="nil"/>
              <w:left w:val="nil"/>
              <w:bottom w:val="nil"/>
              <w:right w:val="single" w:sz="8" w:space="0" w:color="auto"/>
            </w:tcBorders>
            <w:shd w:val="clear" w:color="000000" w:fill="FFFF00"/>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19.59%</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0.44%</w:t>
            </w:r>
          </w:p>
        </w:tc>
      </w:tr>
      <w:tr w:rsidR="00C60EE6" w:rsidTr="00C60EE6">
        <w:trPr>
          <w:trHeight w:val="315"/>
          <w:jc w:val="center"/>
        </w:trPr>
        <w:tc>
          <w:tcPr>
            <w:tcW w:w="0" w:type="auto"/>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rPr>
                <w:rFonts w:ascii="Calibri" w:hAnsi="Calibri" w:cs="Calibri"/>
                <w:color w:val="000000"/>
              </w:rPr>
            </w:pPr>
            <w:r>
              <w:rPr>
                <w:rFonts w:ascii="Calibri" w:hAnsi="Calibri" w:cs="Calibri"/>
                <w:color w:val="000000"/>
              </w:rPr>
              <w:lastRenderedPageBreak/>
              <w:t>Inflation CAGR</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-6.05%</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-6.05%</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-6.05%</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-6.05%</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-6.05%</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-6.05%</w:t>
            </w:r>
          </w:p>
        </w:tc>
      </w:tr>
    </w:tbl>
    <w:p w:rsidR="00C60EE6" w:rsidRDefault="00C60EE6" w:rsidP="001D4B36"/>
    <w:p w:rsidR="00265C86" w:rsidRDefault="00265C86" w:rsidP="001D4B36">
      <w:r>
        <w:t>A few noticeable changes stand out:</w:t>
      </w:r>
    </w:p>
    <w:p w:rsidR="00C60EE6" w:rsidRDefault="00C60EE6" w:rsidP="00C60EE6">
      <w:pPr>
        <w:pStyle w:val="ListParagraph"/>
        <w:numPr>
          <w:ilvl w:val="0"/>
          <w:numId w:val="9"/>
        </w:numPr>
      </w:pPr>
      <w:r>
        <w:t xml:space="preserve">Adding 4 more years of data to nearly 40 years of existing data, has reduced the CAGR for commodities CAGR from 8.34% to 5.85%, roughly a 30% reduction drop. The stats also confirm what we see visually with commodities max drawdown increasing to 80%. </w:t>
      </w:r>
    </w:p>
    <w:p w:rsidR="00265C86" w:rsidRDefault="00C60EE6" w:rsidP="00D4185D">
      <w:pPr>
        <w:pStyle w:val="ListParagraph"/>
        <w:numPr>
          <w:ilvl w:val="0"/>
          <w:numId w:val="9"/>
        </w:numPr>
      </w:pPr>
      <w:r>
        <w:t xml:space="preserve">SP500 returns have improved 0.41% and risk reduced 0.41% improving its sharpe ratio. </w:t>
      </w:r>
    </w:p>
    <w:p w:rsidR="00C60EE6" w:rsidRDefault="00C60EE6" w:rsidP="00D4185D">
      <w:pPr>
        <w:pStyle w:val="ListParagraph"/>
        <w:numPr>
          <w:ilvl w:val="0"/>
          <w:numId w:val="9"/>
        </w:numPr>
      </w:pPr>
      <w:r>
        <w:t>TBILL CAGR have dropped – which makes sense considering near zero rates recently.</w:t>
      </w:r>
    </w:p>
    <w:p w:rsidR="004D04CE" w:rsidRDefault="004D04CE" w:rsidP="001D4B36"/>
    <w:p w:rsidR="003E2D5A" w:rsidRDefault="003E2D5A" w:rsidP="004A5810">
      <w:pPr>
        <w:pStyle w:val="Heading2"/>
      </w:pPr>
      <w:r>
        <w:t>Timing Signal</w:t>
      </w:r>
    </w:p>
    <w:p w:rsidR="00E47429" w:rsidRPr="00E47429" w:rsidRDefault="00E47429" w:rsidP="00E47429">
      <w:r>
        <w:t>Let’s look at the timing signal on individual assets (do this for SA only?)</w:t>
      </w:r>
    </w:p>
    <w:p w:rsidR="003E2D5A" w:rsidRDefault="003E2D5A" w:rsidP="004A5810">
      <w:pPr>
        <w:pStyle w:val="Heading2"/>
      </w:pPr>
    </w:p>
    <w:p w:rsidR="00534BA0" w:rsidRDefault="004A5810" w:rsidP="004A5810">
      <w:pPr>
        <w:pStyle w:val="Heading2"/>
      </w:pPr>
      <w:r>
        <w:t>Replication of GTAA and extension to include 2013-2016</w:t>
      </w:r>
    </w:p>
    <w:p w:rsidR="004A5810" w:rsidRDefault="004A5810" w:rsidP="001D4B36"/>
    <w:p w:rsidR="004A5810" w:rsidRDefault="004A5810" w:rsidP="001D4B36">
      <w:r>
        <w:t>Looking at the percent of time invested:</w:t>
      </w:r>
    </w:p>
    <w:tbl>
      <w:tblPr>
        <w:tblW w:w="7480" w:type="dxa"/>
        <w:jc w:val="center"/>
        <w:tblCellMar>
          <w:left w:w="0" w:type="dxa"/>
          <w:right w:w="0" w:type="dxa"/>
        </w:tblCellMar>
        <w:tblLook w:val="04A0" w:firstRow="1" w:lastRow="0" w:firstColumn="1" w:lastColumn="0" w:noHBand="0" w:noVBand="1"/>
      </w:tblPr>
      <w:tblGrid>
        <w:gridCol w:w="2700"/>
        <w:gridCol w:w="1458"/>
        <w:gridCol w:w="1627"/>
        <w:gridCol w:w="1695"/>
      </w:tblGrid>
      <w:tr w:rsidR="0034549A" w:rsidTr="0034549A">
        <w:trPr>
          <w:trHeight w:hRule="exact" w:val="301"/>
          <w:jc w:val="center"/>
        </w:trPr>
        <w:tc>
          <w:tcPr>
            <w:tcW w:w="7480" w:type="dxa"/>
            <w:gridSpan w:val="4"/>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b/>
                <w:bCs/>
                <w:color w:val="000000"/>
              </w:rPr>
            </w:pPr>
            <w:r>
              <w:rPr>
                <w:rFonts w:ascii="Calibri" w:hAnsi="Calibri" w:cs="Calibri"/>
                <w:b/>
                <w:bCs/>
                <w:color w:val="000000"/>
              </w:rPr>
              <w:t>Figure 10 - Percent of the Time Invested, 1973-2012</w:t>
            </w:r>
          </w:p>
        </w:tc>
      </w:tr>
      <w:tr w:rsidR="0034549A" w:rsidTr="0034549A">
        <w:trPr>
          <w:trHeight w:hRule="exact" w:val="301"/>
          <w:jc w:val="center"/>
        </w:trPr>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Number of Positions</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 Invested</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 of Months</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 of Months</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0 (all cash)</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1.04%</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30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6.24%</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40%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56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11.64%</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60%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101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21.00%</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80%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177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36.80%</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100%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112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23.28%</w:t>
            </w:r>
          </w:p>
        </w:tc>
      </w:tr>
      <w:tr w:rsidR="0034549A" w:rsidTr="0034549A">
        <w:trPr>
          <w:trHeight w:hRule="exact" w:val="301"/>
          <w:jc w:val="center"/>
        </w:trPr>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TOTAL</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 </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481</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100.00%</w:t>
            </w:r>
          </w:p>
        </w:tc>
      </w:tr>
    </w:tbl>
    <w:p w:rsidR="004A5810" w:rsidRDefault="004A5810" w:rsidP="001D4B36"/>
    <w:p w:rsidR="004A5810" w:rsidRDefault="004A5810" w:rsidP="001D4B36">
      <w:r>
        <w:t>Data has one month more with 3 invested/one month less with 4 invested.</w:t>
      </w:r>
    </w:p>
    <w:p w:rsidR="004A5810" w:rsidRDefault="0034549A" w:rsidP="001D4B36">
      <w:r>
        <w:t>Extending to include most recent years:</w:t>
      </w:r>
    </w:p>
    <w:tbl>
      <w:tblPr>
        <w:tblW w:w="7480" w:type="dxa"/>
        <w:jc w:val="center"/>
        <w:tblCellMar>
          <w:left w:w="0" w:type="dxa"/>
          <w:right w:w="0" w:type="dxa"/>
        </w:tblCellMar>
        <w:tblLook w:val="04A0" w:firstRow="1" w:lastRow="0" w:firstColumn="1" w:lastColumn="0" w:noHBand="0" w:noVBand="1"/>
      </w:tblPr>
      <w:tblGrid>
        <w:gridCol w:w="2700"/>
        <w:gridCol w:w="1458"/>
        <w:gridCol w:w="1627"/>
        <w:gridCol w:w="1695"/>
      </w:tblGrid>
      <w:tr w:rsidR="0034549A" w:rsidTr="0034549A">
        <w:trPr>
          <w:trHeight w:hRule="exact" w:val="301"/>
          <w:jc w:val="center"/>
        </w:trPr>
        <w:tc>
          <w:tcPr>
            <w:tcW w:w="7480" w:type="dxa"/>
            <w:gridSpan w:val="4"/>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b/>
                <w:bCs/>
                <w:color w:val="000000"/>
              </w:rPr>
            </w:pPr>
            <w:r>
              <w:rPr>
                <w:rFonts w:ascii="Calibri" w:hAnsi="Calibri" w:cs="Calibri"/>
                <w:b/>
                <w:bCs/>
                <w:color w:val="000000"/>
              </w:rPr>
              <w:t>Figure 11 - Percent of the Time Invested, 1973-2016</w:t>
            </w:r>
          </w:p>
        </w:tc>
      </w:tr>
      <w:tr w:rsidR="0034549A" w:rsidTr="0034549A">
        <w:trPr>
          <w:trHeight w:hRule="exact" w:val="301"/>
          <w:jc w:val="center"/>
        </w:trPr>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Number of Positions</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 Invested</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 of Months</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 of Months</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0 (all cash)</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1.13%</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32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6.05%</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40%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62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11.72%</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60%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118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22.31%</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80%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192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36.29%</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100%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119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22.50%</w:t>
            </w:r>
          </w:p>
        </w:tc>
      </w:tr>
      <w:tr w:rsidR="0034549A" w:rsidTr="0034549A">
        <w:trPr>
          <w:trHeight w:hRule="exact" w:val="301"/>
          <w:jc w:val="center"/>
        </w:trPr>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TOTAL</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 </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529</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100.00%</w:t>
            </w:r>
          </w:p>
        </w:tc>
      </w:tr>
    </w:tbl>
    <w:p w:rsidR="0034549A" w:rsidRDefault="0034549A" w:rsidP="001D4B36"/>
    <w:p w:rsidR="0034549A" w:rsidRDefault="0034549A">
      <w:r>
        <w:br w:type="page"/>
      </w:r>
    </w:p>
    <w:p w:rsidR="0034549A" w:rsidRDefault="0034549A" w:rsidP="001D4B36">
      <w:r>
        <w:lastRenderedPageBreak/>
        <w:t>Looking at most recent years.</w:t>
      </w:r>
    </w:p>
    <w:tbl>
      <w:tblPr>
        <w:tblW w:w="7480" w:type="dxa"/>
        <w:jc w:val="center"/>
        <w:tblCellMar>
          <w:left w:w="0" w:type="dxa"/>
          <w:right w:w="0" w:type="dxa"/>
        </w:tblCellMar>
        <w:tblLook w:val="04A0" w:firstRow="1" w:lastRow="0" w:firstColumn="1" w:lastColumn="0" w:noHBand="0" w:noVBand="1"/>
      </w:tblPr>
      <w:tblGrid>
        <w:gridCol w:w="2700"/>
        <w:gridCol w:w="1458"/>
        <w:gridCol w:w="1627"/>
        <w:gridCol w:w="1695"/>
      </w:tblGrid>
      <w:tr w:rsidR="0034549A" w:rsidTr="0034549A">
        <w:trPr>
          <w:trHeight w:hRule="exact" w:val="301"/>
          <w:jc w:val="center"/>
        </w:trPr>
        <w:tc>
          <w:tcPr>
            <w:tcW w:w="7480" w:type="dxa"/>
            <w:gridSpan w:val="4"/>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b/>
                <w:bCs/>
                <w:color w:val="000000"/>
              </w:rPr>
            </w:pPr>
            <w:r>
              <w:rPr>
                <w:rFonts w:ascii="Calibri" w:hAnsi="Calibri" w:cs="Calibri"/>
                <w:b/>
                <w:bCs/>
                <w:color w:val="000000"/>
              </w:rPr>
              <w:t>Figure 12 - Percent of the Time Invested, 2013-2016</w:t>
            </w:r>
          </w:p>
        </w:tc>
      </w:tr>
      <w:tr w:rsidR="0034549A" w:rsidTr="0034549A">
        <w:trPr>
          <w:trHeight w:hRule="exact" w:val="301"/>
          <w:jc w:val="center"/>
        </w:trPr>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Number of Positions</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 Invested</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 of Months</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 of Months</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0 (all cash)</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2.04%</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4.08%</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40%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12.24%</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60%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34.69%</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80%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32.65%</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100%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14.29%</w:t>
            </w:r>
          </w:p>
        </w:tc>
      </w:tr>
      <w:tr w:rsidR="0034549A" w:rsidTr="0034549A">
        <w:trPr>
          <w:trHeight w:hRule="exact" w:val="301"/>
          <w:jc w:val="center"/>
        </w:trPr>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TOTAL</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 </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49</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100.00%</w:t>
            </w:r>
          </w:p>
        </w:tc>
      </w:tr>
    </w:tbl>
    <w:p w:rsidR="0034549A" w:rsidRDefault="0034549A" w:rsidP="001D4B36"/>
    <w:p w:rsidR="00F828BF" w:rsidRDefault="0034549A" w:rsidP="001D4B36">
      <w:pPr>
        <w:rPr>
          <w:noProof/>
          <w:lang w:eastAsia="en-AU"/>
        </w:rPr>
      </w:pPr>
      <w:r>
        <w:t>Interesting it was out of the market completely at one point</w:t>
      </w:r>
      <w:r w:rsidRPr="0034549A">
        <w:rPr>
          <w:highlight w:val="yellow"/>
        </w:rPr>
        <w:t xml:space="preserve">. Need to confirm on </w:t>
      </w:r>
      <w:r w:rsidR="00F828BF">
        <w:rPr>
          <w:highlight w:val="yellow"/>
        </w:rPr>
        <w:t xml:space="preserve">asset by asset </w:t>
      </w:r>
      <w:r w:rsidRPr="0034549A">
        <w:rPr>
          <w:highlight w:val="yellow"/>
        </w:rPr>
        <w:t>chart!</w:t>
      </w:r>
      <w:r w:rsidR="00F828BF" w:rsidRPr="00F828BF">
        <w:rPr>
          <w:noProof/>
          <w:lang w:eastAsia="en-AU"/>
        </w:rPr>
        <w:t xml:space="preserve"> </w:t>
      </w:r>
      <w:r w:rsidR="00F828BF">
        <w:rPr>
          <w:noProof/>
          <w:lang w:eastAsia="en-AU"/>
        </w:rPr>
        <w:br/>
      </w:r>
    </w:p>
    <w:p w:rsidR="00F828BF" w:rsidRDefault="00F828BF" w:rsidP="001D4B36">
      <w:pPr>
        <w:rPr>
          <w:noProof/>
          <w:lang w:eastAsia="en-AU"/>
        </w:rPr>
      </w:pPr>
      <w:r>
        <w:rPr>
          <w:noProof/>
          <w:lang w:eastAsia="en-AU"/>
        </w:rPr>
        <w:t>Looking at the GTAA model.</w:t>
      </w:r>
    </w:p>
    <w:p w:rsidR="0034549A" w:rsidRDefault="00F828BF" w:rsidP="001D4B36">
      <w:r>
        <w:rPr>
          <w:noProof/>
          <w:lang w:eastAsia="en-AU"/>
        </w:rPr>
        <w:drawing>
          <wp:inline distT="0" distB="0" distL="0" distR="0" wp14:anchorId="0FA0D69D" wp14:editId="36A9D512">
            <wp:extent cx="5731510" cy="3537585"/>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537585"/>
                    </a:xfrm>
                    <a:prstGeom prst="rect">
                      <a:avLst/>
                    </a:prstGeom>
                  </pic:spPr>
                </pic:pic>
              </a:graphicData>
            </a:graphic>
          </wp:inline>
        </w:drawing>
      </w:r>
    </w:p>
    <w:p w:rsidR="00F828BF" w:rsidRDefault="00F828BF" w:rsidP="001D4B36">
      <w:r>
        <w:t xml:space="preserve">Confirms data and calcs match. </w:t>
      </w:r>
    </w:p>
    <w:p w:rsidR="0034549A" w:rsidRDefault="00F828BF" w:rsidP="001D4B36">
      <w:r>
        <w:t>Extending to 2016:</w:t>
      </w:r>
    </w:p>
    <w:p w:rsidR="00F828BF" w:rsidRDefault="00DE7CA6" w:rsidP="001D4B36">
      <w:r>
        <w:rPr>
          <w:noProof/>
          <w:lang w:eastAsia="en-AU"/>
        </w:rPr>
        <w:lastRenderedPageBreak/>
        <w:drawing>
          <wp:inline distT="0" distB="0" distL="0" distR="0" wp14:anchorId="2F640B3F" wp14:editId="62C4050F">
            <wp:extent cx="5731510" cy="3537585"/>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537585"/>
                    </a:xfrm>
                    <a:prstGeom prst="rect">
                      <a:avLst/>
                    </a:prstGeom>
                  </pic:spPr>
                </pic:pic>
              </a:graphicData>
            </a:graphic>
          </wp:inline>
        </w:drawing>
      </w:r>
    </w:p>
    <w:p w:rsidR="00DE7CA6" w:rsidRDefault="00DE7CA6" w:rsidP="001D4B36">
      <w:r>
        <w:t>Looking at non log (do I need the replicated or just jump straight into extended?)</w:t>
      </w:r>
    </w:p>
    <w:p w:rsidR="00DE7CA6" w:rsidRDefault="00DE7CA6" w:rsidP="001D4B36">
      <w:r>
        <w:rPr>
          <w:noProof/>
          <w:lang w:eastAsia="en-AU"/>
        </w:rPr>
        <w:drawing>
          <wp:inline distT="0" distB="0" distL="0" distR="0" wp14:anchorId="3A8887A8" wp14:editId="1D88BB14">
            <wp:extent cx="5731510" cy="3537585"/>
            <wp:effectExtent l="0" t="0" r="254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537585"/>
                    </a:xfrm>
                    <a:prstGeom prst="rect">
                      <a:avLst/>
                    </a:prstGeom>
                  </pic:spPr>
                </pic:pic>
              </a:graphicData>
            </a:graphic>
          </wp:inline>
        </w:drawing>
      </w:r>
    </w:p>
    <w:p w:rsidR="0034549A" w:rsidRDefault="0034549A" w:rsidP="001D4B36"/>
    <w:p w:rsidR="00DE7CA6" w:rsidRDefault="00DE7CA6" w:rsidP="001D4B36">
      <w:r>
        <w:rPr>
          <w:noProof/>
          <w:lang w:eastAsia="en-AU"/>
        </w:rPr>
        <w:lastRenderedPageBreak/>
        <w:drawing>
          <wp:inline distT="0" distB="0" distL="0" distR="0" wp14:anchorId="46624AB1" wp14:editId="728538E6">
            <wp:extent cx="5731510" cy="3537585"/>
            <wp:effectExtent l="0" t="0" r="254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537585"/>
                    </a:xfrm>
                    <a:prstGeom prst="rect">
                      <a:avLst/>
                    </a:prstGeom>
                  </pic:spPr>
                </pic:pic>
              </a:graphicData>
            </a:graphic>
          </wp:inline>
        </w:drawing>
      </w:r>
    </w:p>
    <w:p w:rsidR="0034549A" w:rsidRDefault="00F828BF" w:rsidP="001D4B36">
      <w:r>
        <w:rPr>
          <w:noProof/>
          <w:lang w:eastAsia="en-AU"/>
        </w:rPr>
        <w:drawing>
          <wp:inline distT="0" distB="0" distL="0" distR="0" wp14:anchorId="2C68902A" wp14:editId="5BB75524">
            <wp:extent cx="5731510" cy="353758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537585"/>
                    </a:xfrm>
                    <a:prstGeom prst="rect">
                      <a:avLst/>
                    </a:prstGeom>
                  </pic:spPr>
                </pic:pic>
              </a:graphicData>
            </a:graphic>
          </wp:inline>
        </w:drawing>
      </w:r>
    </w:p>
    <w:p w:rsidR="0034549A" w:rsidRDefault="00DE7CA6" w:rsidP="001D4B36">
      <w:r>
        <w:t>Buy and hold outperformed earlier, then GTAA outperformed with less downside before BH caught up. Look at drawdowns and standard deviation to highlight this point.</w:t>
      </w:r>
    </w:p>
    <w:p w:rsidR="00DE7CA6" w:rsidRDefault="00DE7CA6">
      <w:r>
        <w:br w:type="page"/>
      </w:r>
    </w:p>
    <w:p w:rsidR="00DE7CA6" w:rsidRDefault="00DE7CA6" w:rsidP="001D4B36"/>
    <w:tbl>
      <w:tblPr>
        <w:tblW w:w="3420" w:type="dxa"/>
        <w:tblCellMar>
          <w:left w:w="0" w:type="dxa"/>
          <w:right w:w="0" w:type="dxa"/>
        </w:tblCellMar>
        <w:tblLook w:val="04A0" w:firstRow="1" w:lastRow="0" w:firstColumn="1" w:lastColumn="0" w:noHBand="0" w:noVBand="1"/>
      </w:tblPr>
      <w:tblGrid>
        <w:gridCol w:w="1492"/>
        <w:gridCol w:w="1157"/>
        <w:gridCol w:w="771"/>
      </w:tblGrid>
      <w:tr w:rsidR="00DE7CA6" w:rsidTr="00DE7CA6">
        <w:trPr>
          <w:trHeight w:val="315"/>
        </w:trPr>
        <w:tc>
          <w:tcPr>
            <w:tcW w:w="3420" w:type="dxa"/>
            <w:gridSpan w:val="3"/>
            <w:tcBorders>
              <w:top w:val="nil"/>
              <w:left w:val="nil"/>
              <w:bottom w:val="nil"/>
              <w:right w:val="nil"/>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b/>
                <w:bCs/>
                <w:color w:val="000000"/>
              </w:rPr>
            </w:pPr>
            <w:r>
              <w:rPr>
                <w:rFonts w:ascii="Calibri" w:hAnsi="Calibri" w:cs="Calibri"/>
                <w:b/>
                <w:bCs/>
                <w:color w:val="000000"/>
              </w:rPr>
              <w:t>Summary Annualised Returns for B&amp;H vs Timing Model, 1973-2012</w:t>
            </w:r>
          </w:p>
        </w:tc>
      </w:tr>
      <w:tr w:rsidR="00DE7CA6" w:rsidTr="00600E67">
        <w:trPr>
          <w:trHeight w:hRule="exact" w:val="284"/>
        </w:trPr>
        <w:tc>
          <w:tcPr>
            <w:tcW w:w="0" w:type="auto"/>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 </w:t>
            </w:r>
          </w:p>
        </w:tc>
        <w:tc>
          <w:tcPr>
            <w:tcW w:w="0" w:type="auto"/>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Buy &amp; Hold</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GTAA</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Return</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9.93%</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10.57%</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Volatility</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10.28%</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7.01%</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Sharpe</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0.41</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0.68</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MaxDD</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FF0000"/>
              </w:rPr>
              <w:t>-46.10%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FF0000"/>
              </w:rPr>
              <w:t>-9.56%</w:t>
            </w:r>
          </w:p>
        </w:tc>
      </w:tr>
      <w:tr w:rsidR="00DE7CA6" w:rsidTr="00600E67">
        <w:trPr>
          <w:trHeight w:hRule="exact" w:val="284"/>
        </w:trPr>
        <w:tc>
          <w:tcPr>
            <w:tcW w:w="0" w:type="auto"/>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Inflation CAGR</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4.33%</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4.33%</w:t>
            </w:r>
          </w:p>
        </w:tc>
      </w:tr>
    </w:tbl>
    <w:p w:rsidR="00DE7CA6" w:rsidRDefault="00DE7CA6" w:rsidP="001D4B36"/>
    <w:tbl>
      <w:tblPr>
        <w:tblW w:w="3420" w:type="dxa"/>
        <w:tblCellMar>
          <w:left w:w="0" w:type="dxa"/>
          <w:right w:w="0" w:type="dxa"/>
        </w:tblCellMar>
        <w:tblLook w:val="04A0" w:firstRow="1" w:lastRow="0" w:firstColumn="1" w:lastColumn="0" w:noHBand="0" w:noVBand="1"/>
      </w:tblPr>
      <w:tblGrid>
        <w:gridCol w:w="1514"/>
        <w:gridCol w:w="1174"/>
        <w:gridCol w:w="732"/>
      </w:tblGrid>
      <w:tr w:rsidR="00DE7CA6" w:rsidTr="00DE7CA6">
        <w:trPr>
          <w:trHeight w:val="315"/>
        </w:trPr>
        <w:tc>
          <w:tcPr>
            <w:tcW w:w="3420" w:type="dxa"/>
            <w:gridSpan w:val="3"/>
            <w:tcBorders>
              <w:top w:val="nil"/>
              <w:left w:val="nil"/>
              <w:bottom w:val="nil"/>
              <w:right w:val="nil"/>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b/>
                <w:bCs/>
                <w:color w:val="000000"/>
              </w:rPr>
            </w:pPr>
            <w:r>
              <w:rPr>
                <w:rFonts w:ascii="Calibri" w:hAnsi="Calibri" w:cs="Calibri"/>
                <w:b/>
                <w:bCs/>
                <w:color w:val="000000"/>
              </w:rPr>
              <w:t>Summary Annualised Returns for B&amp;H vs Timing Model, 1973-2016</w:t>
            </w:r>
          </w:p>
        </w:tc>
      </w:tr>
      <w:tr w:rsidR="00DE7CA6" w:rsidTr="00600E67">
        <w:trPr>
          <w:trHeight w:hRule="exact" w:val="284"/>
        </w:trPr>
        <w:tc>
          <w:tcPr>
            <w:tcW w:w="0" w:type="auto"/>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 </w:t>
            </w:r>
          </w:p>
        </w:tc>
        <w:tc>
          <w:tcPr>
            <w:tcW w:w="0" w:type="auto"/>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Buy &amp; Hold</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GTAA</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Return</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9.25%</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9.80%</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Volatility</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10.09%</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6.87%</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Sharpe</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0.35</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0.59</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MaxDD</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FF0000"/>
              </w:rPr>
              <w:t>-46.10%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FF0000"/>
              </w:rPr>
              <w:t>-9.56%</w:t>
            </w:r>
          </w:p>
        </w:tc>
      </w:tr>
      <w:tr w:rsidR="00DE7CA6" w:rsidTr="00600E67">
        <w:trPr>
          <w:trHeight w:hRule="exact" w:val="284"/>
        </w:trPr>
        <w:tc>
          <w:tcPr>
            <w:tcW w:w="0" w:type="auto"/>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Inflation CAGR</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4.04%</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4.04%</w:t>
            </w:r>
          </w:p>
        </w:tc>
      </w:tr>
    </w:tbl>
    <w:p w:rsidR="0034549A" w:rsidRDefault="0034549A" w:rsidP="001D4B36"/>
    <w:tbl>
      <w:tblPr>
        <w:tblW w:w="3420" w:type="dxa"/>
        <w:tblCellMar>
          <w:left w:w="0" w:type="dxa"/>
          <w:right w:w="0" w:type="dxa"/>
        </w:tblCellMar>
        <w:tblLook w:val="04A0" w:firstRow="1" w:lastRow="0" w:firstColumn="1" w:lastColumn="0" w:noHBand="0" w:noVBand="1"/>
      </w:tblPr>
      <w:tblGrid>
        <w:gridCol w:w="1514"/>
        <w:gridCol w:w="1174"/>
        <w:gridCol w:w="732"/>
      </w:tblGrid>
      <w:tr w:rsidR="00DE7CA6" w:rsidTr="00DE7CA6">
        <w:trPr>
          <w:trHeight w:val="315"/>
        </w:trPr>
        <w:tc>
          <w:tcPr>
            <w:tcW w:w="3420" w:type="dxa"/>
            <w:gridSpan w:val="3"/>
            <w:tcBorders>
              <w:top w:val="nil"/>
              <w:left w:val="nil"/>
              <w:bottom w:val="nil"/>
              <w:right w:val="nil"/>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b/>
                <w:bCs/>
                <w:color w:val="000000"/>
              </w:rPr>
            </w:pPr>
            <w:r>
              <w:rPr>
                <w:rFonts w:ascii="Calibri" w:hAnsi="Calibri" w:cs="Calibri"/>
                <w:b/>
                <w:bCs/>
                <w:color w:val="000000"/>
              </w:rPr>
              <w:t>Summary Annualised Returns for B&amp;H vs Timing Model, 2013-2016</w:t>
            </w:r>
          </w:p>
        </w:tc>
      </w:tr>
      <w:tr w:rsidR="00DE7CA6" w:rsidTr="00600E67">
        <w:trPr>
          <w:trHeight w:hRule="exact" w:val="284"/>
        </w:trPr>
        <w:tc>
          <w:tcPr>
            <w:tcW w:w="0" w:type="auto"/>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 </w:t>
            </w:r>
          </w:p>
        </w:tc>
        <w:tc>
          <w:tcPr>
            <w:tcW w:w="0" w:type="auto"/>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Buy &amp; Hold</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GTAA</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Return</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2.67%</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2.44%</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Volatility</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7.78%</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4.92%</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Sharpe</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-0.35</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-0.60</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MaxDD</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FF0000"/>
              </w:rPr>
              <w:t>-15.62%</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FF0000"/>
              </w:rPr>
              <w:t>-6.74%</w:t>
            </w:r>
          </w:p>
        </w:tc>
      </w:tr>
      <w:tr w:rsidR="00DE7CA6" w:rsidTr="00600E67">
        <w:trPr>
          <w:trHeight w:hRule="exact" w:val="284"/>
        </w:trPr>
        <w:tc>
          <w:tcPr>
            <w:tcW w:w="0" w:type="auto"/>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Inflation CAGR</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1.25%</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1.25%</w:t>
            </w:r>
          </w:p>
        </w:tc>
      </w:tr>
    </w:tbl>
    <w:p w:rsidR="0034549A" w:rsidRDefault="0034549A" w:rsidP="001D4B36"/>
    <w:tbl>
      <w:tblPr>
        <w:tblW w:w="3420" w:type="dxa"/>
        <w:tblCellMar>
          <w:left w:w="0" w:type="dxa"/>
          <w:right w:w="0" w:type="dxa"/>
        </w:tblCellMar>
        <w:tblLook w:val="04A0" w:firstRow="1" w:lastRow="0" w:firstColumn="1" w:lastColumn="0" w:noHBand="0" w:noVBand="1"/>
      </w:tblPr>
      <w:tblGrid>
        <w:gridCol w:w="1514"/>
        <w:gridCol w:w="1174"/>
        <w:gridCol w:w="732"/>
      </w:tblGrid>
      <w:tr w:rsidR="00600E67" w:rsidTr="00600E67">
        <w:trPr>
          <w:trHeight w:val="315"/>
        </w:trPr>
        <w:tc>
          <w:tcPr>
            <w:tcW w:w="3420" w:type="dxa"/>
            <w:gridSpan w:val="3"/>
            <w:tcBorders>
              <w:top w:val="nil"/>
              <w:left w:val="nil"/>
              <w:bottom w:val="nil"/>
              <w:right w:val="nil"/>
            </w:tcBorders>
            <w:shd w:val="clear" w:color="auto" w:fill="auto"/>
            <w:noWrap/>
            <w:tcMar>
              <w:top w:w="15" w:type="dxa"/>
              <w:left w:w="15" w:type="dxa"/>
              <w:bottom w:w="0" w:type="dxa"/>
              <w:right w:w="15" w:type="dxa"/>
            </w:tcMar>
            <w:vAlign w:val="bottom"/>
            <w:hideMark/>
          </w:tcPr>
          <w:p w:rsidR="00600E67" w:rsidRDefault="00600E67">
            <w:pPr>
              <w:jc w:val="center"/>
              <w:rPr>
                <w:rFonts w:ascii="Calibri" w:hAnsi="Calibri" w:cs="Calibri"/>
                <w:b/>
                <w:bCs/>
                <w:color w:val="000000"/>
              </w:rPr>
            </w:pPr>
            <w:r>
              <w:rPr>
                <w:rFonts w:ascii="Calibri" w:hAnsi="Calibri" w:cs="Calibri"/>
                <w:b/>
                <w:bCs/>
                <w:color w:val="000000"/>
              </w:rPr>
              <w:t>Summary Annualised Returns for B&amp;H vs Timing Model, 2007-2016</w:t>
            </w:r>
          </w:p>
        </w:tc>
      </w:tr>
      <w:tr w:rsidR="00600E67" w:rsidTr="00600E67">
        <w:trPr>
          <w:trHeight w:hRule="exact" w:val="284"/>
        </w:trPr>
        <w:tc>
          <w:tcPr>
            <w:tcW w:w="0" w:type="auto"/>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600E67" w:rsidRDefault="00600E67">
            <w:pPr>
              <w:jc w:val="center"/>
              <w:rPr>
                <w:rFonts w:ascii="Calibri" w:hAnsi="Calibri" w:cs="Calibri"/>
                <w:color w:val="000000"/>
              </w:rPr>
            </w:pPr>
            <w:r>
              <w:rPr>
                <w:rFonts w:ascii="Calibri" w:hAnsi="Calibri" w:cs="Calibri"/>
                <w:color w:val="000000"/>
              </w:rPr>
              <w:t> </w:t>
            </w:r>
          </w:p>
        </w:tc>
        <w:tc>
          <w:tcPr>
            <w:tcW w:w="0" w:type="auto"/>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600E67" w:rsidRDefault="00600E67">
            <w:pPr>
              <w:jc w:val="center"/>
              <w:rPr>
                <w:rFonts w:ascii="Calibri" w:hAnsi="Calibri" w:cs="Calibri"/>
                <w:color w:val="000000"/>
              </w:rPr>
            </w:pPr>
            <w:r>
              <w:rPr>
                <w:rFonts w:ascii="Calibri" w:hAnsi="Calibri" w:cs="Calibri"/>
                <w:color w:val="000000"/>
              </w:rPr>
              <w:t>Buy &amp; Hold</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600E67" w:rsidRDefault="00600E67">
            <w:pPr>
              <w:jc w:val="center"/>
              <w:rPr>
                <w:rFonts w:ascii="Calibri" w:hAnsi="Calibri" w:cs="Calibri"/>
                <w:color w:val="000000"/>
              </w:rPr>
            </w:pPr>
            <w:r>
              <w:rPr>
                <w:rFonts w:ascii="Calibri" w:hAnsi="Calibri" w:cs="Calibri"/>
                <w:color w:val="000000"/>
              </w:rPr>
              <w:t>GTAA</w:t>
            </w:r>
          </w:p>
        </w:tc>
      </w:tr>
      <w:tr w:rsidR="00600E67"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600E67" w:rsidRDefault="00600E67">
            <w:pPr>
              <w:rPr>
                <w:rFonts w:ascii="Calibri" w:hAnsi="Calibri" w:cs="Calibri"/>
                <w:color w:val="000000"/>
              </w:rPr>
            </w:pPr>
            <w:r>
              <w:rPr>
                <w:rFonts w:ascii="Calibri" w:hAnsi="Calibri" w:cs="Calibri"/>
                <w:color w:val="000000"/>
              </w:rPr>
              <w:t>Return</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600E67" w:rsidRDefault="00600E67">
            <w:pPr>
              <w:jc w:val="center"/>
              <w:rPr>
                <w:rFonts w:ascii="Calibri" w:hAnsi="Calibri" w:cs="Calibri"/>
                <w:color w:val="000000"/>
              </w:rPr>
            </w:pPr>
            <w:r>
              <w:rPr>
                <w:rFonts w:ascii="Calibri" w:hAnsi="Calibri" w:cs="Calibri"/>
                <w:color w:val="000000"/>
              </w:rPr>
              <w:t>2.67%</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600E67" w:rsidRDefault="00600E67">
            <w:pPr>
              <w:jc w:val="center"/>
              <w:rPr>
                <w:rFonts w:ascii="Calibri" w:hAnsi="Calibri" w:cs="Calibri"/>
                <w:color w:val="000000"/>
              </w:rPr>
            </w:pPr>
            <w:r>
              <w:rPr>
                <w:rFonts w:ascii="Calibri" w:hAnsi="Calibri" w:cs="Calibri"/>
                <w:color w:val="000000"/>
              </w:rPr>
              <w:t>3.89%</w:t>
            </w:r>
          </w:p>
        </w:tc>
      </w:tr>
      <w:tr w:rsidR="00600E67"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600E67" w:rsidRDefault="00600E67">
            <w:pPr>
              <w:rPr>
                <w:rFonts w:ascii="Calibri" w:hAnsi="Calibri" w:cs="Calibri"/>
                <w:color w:val="000000"/>
              </w:rPr>
            </w:pPr>
            <w:r>
              <w:rPr>
                <w:rFonts w:ascii="Calibri" w:hAnsi="Calibri" w:cs="Calibri"/>
                <w:color w:val="000000"/>
              </w:rPr>
              <w:t>Volatility</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600E67" w:rsidRDefault="00600E67">
            <w:pPr>
              <w:jc w:val="center"/>
              <w:rPr>
                <w:rFonts w:ascii="Calibri" w:hAnsi="Calibri" w:cs="Calibri"/>
                <w:color w:val="000000"/>
              </w:rPr>
            </w:pPr>
            <w:r>
              <w:rPr>
                <w:rFonts w:ascii="Calibri" w:hAnsi="Calibri" w:cs="Calibri"/>
                <w:color w:val="000000"/>
              </w:rPr>
              <w:t>13.23%</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600E67" w:rsidRDefault="00600E67">
            <w:pPr>
              <w:jc w:val="center"/>
              <w:rPr>
                <w:rFonts w:ascii="Calibri" w:hAnsi="Calibri" w:cs="Calibri"/>
                <w:color w:val="000000"/>
              </w:rPr>
            </w:pPr>
            <w:r>
              <w:rPr>
                <w:rFonts w:ascii="Calibri" w:hAnsi="Calibri" w:cs="Calibri"/>
                <w:color w:val="000000"/>
              </w:rPr>
              <w:t>6.55%</w:t>
            </w:r>
          </w:p>
        </w:tc>
      </w:tr>
      <w:tr w:rsidR="00600E67"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600E67" w:rsidRDefault="00600E67">
            <w:pPr>
              <w:rPr>
                <w:rFonts w:ascii="Calibri" w:hAnsi="Calibri" w:cs="Calibri"/>
                <w:color w:val="000000"/>
              </w:rPr>
            </w:pPr>
            <w:r>
              <w:rPr>
                <w:rFonts w:ascii="Calibri" w:hAnsi="Calibri" w:cs="Calibri"/>
                <w:color w:val="000000"/>
              </w:rPr>
              <w:t>Sharpe</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600E67" w:rsidRDefault="00600E67">
            <w:pPr>
              <w:jc w:val="center"/>
              <w:rPr>
                <w:rFonts w:ascii="Calibri" w:hAnsi="Calibri" w:cs="Calibri"/>
                <w:color w:val="000000"/>
              </w:rPr>
            </w:pPr>
            <w:r>
              <w:rPr>
                <w:rFonts w:ascii="Calibri" w:hAnsi="Calibri" w:cs="Calibri"/>
                <w:color w:val="000000"/>
              </w:rPr>
              <w:t>-0.21</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600E67" w:rsidRDefault="00600E67">
            <w:pPr>
              <w:jc w:val="center"/>
              <w:rPr>
                <w:rFonts w:ascii="Calibri" w:hAnsi="Calibri" w:cs="Calibri"/>
                <w:color w:val="000000"/>
              </w:rPr>
            </w:pPr>
            <w:r>
              <w:rPr>
                <w:rFonts w:ascii="Calibri" w:hAnsi="Calibri" w:cs="Calibri"/>
                <w:color w:val="000000"/>
              </w:rPr>
              <w:t>-0.24</w:t>
            </w:r>
          </w:p>
        </w:tc>
      </w:tr>
      <w:tr w:rsidR="00600E67"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600E67" w:rsidRDefault="00600E67">
            <w:pPr>
              <w:rPr>
                <w:rFonts w:ascii="Calibri" w:hAnsi="Calibri" w:cs="Calibri"/>
                <w:color w:val="000000"/>
              </w:rPr>
            </w:pPr>
            <w:r>
              <w:rPr>
                <w:rFonts w:ascii="Calibri" w:hAnsi="Calibri" w:cs="Calibri"/>
                <w:color w:val="000000"/>
              </w:rPr>
              <w:t>MaxDD</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600E67" w:rsidRDefault="00600E67">
            <w:pPr>
              <w:jc w:val="center"/>
              <w:rPr>
                <w:rFonts w:ascii="Calibri" w:hAnsi="Calibri" w:cs="Calibri"/>
                <w:color w:val="000000"/>
              </w:rPr>
            </w:pPr>
            <w:r>
              <w:rPr>
                <w:rFonts w:ascii="Calibri" w:hAnsi="Calibri" w:cs="Calibri"/>
                <w:color w:val="FF0000"/>
              </w:rPr>
              <w:t>-46.10%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600E67" w:rsidRDefault="00600E67">
            <w:pPr>
              <w:jc w:val="center"/>
              <w:rPr>
                <w:rFonts w:ascii="Calibri" w:hAnsi="Calibri" w:cs="Calibri"/>
                <w:color w:val="000000"/>
              </w:rPr>
            </w:pPr>
            <w:r>
              <w:rPr>
                <w:rFonts w:ascii="Calibri" w:hAnsi="Calibri" w:cs="Calibri"/>
                <w:color w:val="FF0000"/>
              </w:rPr>
              <w:t>-9.22%</w:t>
            </w:r>
          </w:p>
        </w:tc>
      </w:tr>
      <w:tr w:rsidR="00600E67" w:rsidTr="00600E67">
        <w:trPr>
          <w:trHeight w:hRule="exact" w:val="284"/>
        </w:trPr>
        <w:tc>
          <w:tcPr>
            <w:tcW w:w="0" w:type="auto"/>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600E67" w:rsidRDefault="00600E67">
            <w:pPr>
              <w:rPr>
                <w:rFonts w:ascii="Calibri" w:hAnsi="Calibri" w:cs="Calibri"/>
                <w:color w:val="000000"/>
              </w:rPr>
            </w:pPr>
            <w:r>
              <w:rPr>
                <w:rFonts w:ascii="Calibri" w:hAnsi="Calibri" w:cs="Calibri"/>
                <w:color w:val="000000"/>
              </w:rPr>
              <w:t>Inflation CAGR</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600E67" w:rsidRDefault="00600E67">
            <w:pPr>
              <w:jc w:val="center"/>
              <w:rPr>
                <w:rFonts w:ascii="Calibri" w:hAnsi="Calibri" w:cs="Calibri"/>
                <w:color w:val="000000"/>
              </w:rPr>
            </w:pPr>
            <w:r>
              <w:rPr>
                <w:rFonts w:ascii="Calibri" w:hAnsi="Calibri" w:cs="Calibri"/>
                <w:color w:val="000000"/>
              </w:rPr>
              <w:t>1.81%</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600E67" w:rsidRDefault="00600E67">
            <w:pPr>
              <w:jc w:val="center"/>
              <w:rPr>
                <w:rFonts w:ascii="Calibri" w:hAnsi="Calibri" w:cs="Calibri"/>
                <w:color w:val="000000"/>
              </w:rPr>
            </w:pPr>
            <w:r>
              <w:rPr>
                <w:rFonts w:ascii="Calibri" w:hAnsi="Calibri" w:cs="Calibri"/>
                <w:color w:val="000000"/>
              </w:rPr>
              <w:t>1.81%</w:t>
            </w:r>
          </w:p>
        </w:tc>
      </w:tr>
    </w:tbl>
    <w:p w:rsidR="0034549A" w:rsidRDefault="0034549A" w:rsidP="001D4B36"/>
    <w:p w:rsidR="0034549A" w:rsidRDefault="00600E67" w:rsidP="001D4B36">
      <w:r>
        <w:t>Look at annual returns. Look at above tables feeding in risk free rates.</w:t>
      </w:r>
    </w:p>
    <w:p w:rsidR="00600E67" w:rsidRDefault="00600E67" w:rsidP="001D4B36">
      <w:r>
        <w:t>Then do for SA.</w:t>
      </w:r>
    </w:p>
    <w:p w:rsidR="00534BA0" w:rsidRDefault="00534BA0" w:rsidP="001D4B36"/>
    <w:p w:rsidR="00534BA0" w:rsidRDefault="00534BA0" w:rsidP="001D4B36">
      <w:r>
        <w:t>Save drawdown for SA</w:t>
      </w:r>
      <w:r w:rsidR="001D395F">
        <w:t xml:space="preserve"> analysis</w:t>
      </w:r>
      <w:r>
        <w:t>…</w:t>
      </w:r>
    </w:p>
    <w:p w:rsidR="00195FA5" w:rsidRDefault="00195FA5" w:rsidP="001D4B36">
      <w:r>
        <w:rPr>
          <w:noProof/>
          <w:lang w:eastAsia="en-AU"/>
        </w:rPr>
        <w:lastRenderedPageBreak/>
        <w:drawing>
          <wp:inline distT="0" distB="0" distL="0" distR="0" wp14:anchorId="1ACA68E8" wp14:editId="562A0E76">
            <wp:extent cx="5731510" cy="35375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537585"/>
                    </a:xfrm>
                    <a:prstGeom prst="rect">
                      <a:avLst/>
                    </a:prstGeom>
                  </pic:spPr>
                </pic:pic>
              </a:graphicData>
            </a:graphic>
          </wp:inline>
        </w:drawing>
      </w:r>
    </w:p>
    <w:p w:rsidR="00195FA5" w:rsidRDefault="00195FA5" w:rsidP="00CD0E9F">
      <w:pPr>
        <w:pStyle w:val="ListParagraph"/>
        <w:numPr>
          <w:ilvl w:val="0"/>
          <w:numId w:val="2"/>
        </w:numPr>
      </w:pPr>
      <w:r>
        <w:t>Need to expand to 1900 – using shiller data?</w:t>
      </w:r>
    </w:p>
    <w:p w:rsidR="00DF6E5E" w:rsidRDefault="00DF6E5E" w:rsidP="00DF6E5E">
      <w:pPr>
        <w:pStyle w:val="Heading3"/>
      </w:pPr>
      <w:bookmarkStart w:id="8" w:name="_Toc475478008"/>
      <w:r>
        <w:t>Using the 10m simple moving average to manage risk</w:t>
      </w:r>
      <w:bookmarkEnd w:id="8"/>
    </w:p>
    <w:p w:rsidR="00195FA5" w:rsidRDefault="00CD0E9F" w:rsidP="00195FA5">
      <w:r>
        <w:rPr>
          <w:noProof/>
          <w:lang w:eastAsia="en-AU"/>
        </w:rPr>
        <w:drawing>
          <wp:inline distT="0" distB="0" distL="0" distR="0" wp14:anchorId="388EC834" wp14:editId="1A6ACB1B">
            <wp:extent cx="5731510" cy="35375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537585"/>
                    </a:xfrm>
                    <a:prstGeom prst="rect">
                      <a:avLst/>
                    </a:prstGeom>
                  </pic:spPr>
                </pic:pic>
              </a:graphicData>
            </a:graphic>
          </wp:inline>
        </w:drawing>
      </w:r>
    </w:p>
    <w:p w:rsidR="00CD0E9F" w:rsidRDefault="00CD0E9F" w:rsidP="00195FA5"/>
    <w:p w:rsidR="00CD0E9F" w:rsidRDefault="00CD0E9F" w:rsidP="00195FA5">
      <w:r>
        <w:t>S&amp;P Total Returns vs Timing Total Returns (1901-2012)</w:t>
      </w:r>
    </w:p>
    <w:p w:rsidR="00CD0E9F" w:rsidRDefault="00CD0E9F" w:rsidP="00CD0E9F">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SP500 TIMING</w:t>
      </w:r>
    </w:p>
    <w:p w:rsidR="00CD0E9F" w:rsidRDefault="00CD0E9F" w:rsidP="00CD0E9F">
      <w:pPr>
        <w:pStyle w:val="HTMLPreformatted"/>
        <w:shd w:val="clear" w:color="auto" w:fill="FFFFFF"/>
        <w:spacing w:line="225" w:lineRule="atLeast"/>
        <w:rPr>
          <w:rFonts w:ascii="Lucida Console" w:hAnsi="Lucida Console"/>
          <w:color w:val="000000"/>
        </w:rPr>
      </w:pPr>
      <w:r>
        <w:rPr>
          <w:rFonts w:ascii="Lucida Console" w:hAnsi="Lucida Console"/>
          <w:color w:val="000000"/>
        </w:rPr>
        <w:t>Return              9.79  10.29</w:t>
      </w:r>
    </w:p>
    <w:p w:rsidR="00CD0E9F" w:rsidRDefault="00CD0E9F" w:rsidP="00CD0E9F">
      <w:pPr>
        <w:pStyle w:val="HTMLPreformatted"/>
        <w:shd w:val="clear" w:color="auto" w:fill="FFFFFF"/>
        <w:spacing w:line="225" w:lineRule="atLeast"/>
        <w:rPr>
          <w:rFonts w:ascii="Lucida Console" w:hAnsi="Lucida Console"/>
          <w:color w:val="000000"/>
        </w:rPr>
      </w:pPr>
      <w:r>
        <w:rPr>
          <w:rFonts w:ascii="Lucida Console" w:hAnsi="Lucida Console"/>
          <w:color w:val="000000"/>
        </w:rPr>
        <w:t>Volatility         15.69  11.83</w:t>
      </w:r>
    </w:p>
    <w:p w:rsidR="00CD0E9F" w:rsidRDefault="00CD0E9F" w:rsidP="00CD0E9F">
      <w:pPr>
        <w:pStyle w:val="HTMLPreformatted"/>
        <w:shd w:val="clear" w:color="auto" w:fill="FFFFFF"/>
        <w:spacing w:line="225" w:lineRule="atLeast"/>
        <w:rPr>
          <w:rFonts w:ascii="Lucida Console" w:hAnsi="Lucida Console"/>
          <w:color w:val="000000"/>
        </w:rPr>
      </w:pPr>
      <w:r>
        <w:rPr>
          <w:rFonts w:ascii="Lucida Console" w:hAnsi="Lucida Console"/>
          <w:color w:val="000000"/>
        </w:rPr>
        <w:lastRenderedPageBreak/>
        <w:t>Sharpe              0.26   0.38</w:t>
      </w:r>
    </w:p>
    <w:p w:rsidR="00CD0E9F" w:rsidRDefault="00CD0E9F" w:rsidP="00CD0E9F">
      <w:pPr>
        <w:pStyle w:val="HTMLPreformatted"/>
        <w:shd w:val="clear" w:color="auto" w:fill="FFFFFF"/>
        <w:spacing w:line="225" w:lineRule="atLeast"/>
        <w:rPr>
          <w:rFonts w:ascii="Lucida Console" w:hAnsi="Lucida Console"/>
          <w:color w:val="000000"/>
        </w:rPr>
      </w:pPr>
      <w:r>
        <w:rPr>
          <w:rFonts w:ascii="Lucida Console" w:hAnsi="Lucida Console"/>
          <w:color w:val="000000"/>
        </w:rPr>
        <w:t>MaxDD             -50.95 -23.29</w:t>
      </w:r>
    </w:p>
    <w:p w:rsidR="00CD0E9F" w:rsidRDefault="00CD0E9F" w:rsidP="00CD0E9F">
      <w:pPr>
        <w:pStyle w:val="HTMLPreformatted"/>
        <w:shd w:val="clear" w:color="auto" w:fill="FFFFFF"/>
        <w:spacing w:line="225" w:lineRule="atLeast"/>
        <w:rPr>
          <w:rFonts w:ascii="Lucida Console" w:hAnsi="Lucida Console"/>
          <w:color w:val="000000"/>
        </w:rPr>
      </w:pPr>
      <w:r>
        <w:rPr>
          <w:rFonts w:ascii="Lucida Console" w:hAnsi="Lucida Console"/>
          <w:color w:val="000000"/>
        </w:rPr>
        <w:t>% Positive Months  60.91  73.60</w:t>
      </w:r>
    </w:p>
    <w:p w:rsidR="00CD0E9F" w:rsidRDefault="00CD0E9F" w:rsidP="00195FA5"/>
    <w:p w:rsidR="00CD0E9F" w:rsidRDefault="00CD0E9F" w:rsidP="00CD0E9F">
      <w:pPr>
        <w:pStyle w:val="ListParagraph"/>
        <w:numPr>
          <w:ilvl w:val="0"/>
          <w:numId w:val="2"/>
        </w:numPr>
      </w:pPr>
      <w:r>
        <w:t>Need to expand to 1900 – using shiller data?</w:t>
      </w:r>
    </w:p>
    <w:p w:rsidR="00CD0E9F" w:rsidRDefault="00CD0E9F" w:rsidP="00CD0E9F">
      <w:pPr>
        <w:pStyle w:val="ListParagraph"/>
        <w:numPr>
          <w:ilvl w:val="0"/>
          <w:numId w:val="2"/>
        </w:numPr>
      </w:pPr>
      <w:r>
        <w:t>Need to add $100 becomes… CAGR….</w:t>
      </w:r>
    </w:p>
    <w:p w:rsidR="00CD0E9F" w:rsidRDefault="00CD0E9F" w:rsidP="00CD0E9F">
      <w:pPr>
        <w:pStyle w:val="ListParagraph"/>
        <w:numPr>
          <w:ilvl w:val="0"/>
          <w:numId w:val="2"/>
        </w:numPr>
      </w:pPr>
    </w:p>
    <w:p w:rsidR="00DF6E5E" w:rsidRDefault="00DF6E5E" w:rsidP="00DF6E5E">
      <w:pPr>
        <w:pStyle w:val="Heading3"/>
      </w:pPr>
      <w:bookmarkStart w:id="9" w:name="_Toc475478009"/>
      <w:r>
        <w:t>Global tactical asset allocation</w:t>
      </w:r>
      <w:bookmarkEnd w:id="9"/>
    </w:p>
    <w:p w:rsidR="00CD0E9F" w:rsidRDefault="00CD0E9F" w:rsidP="00195FA5"/>
    <w:p w:rsidR="00CD0E9F" w:rsidRDefault="00CD0E9F" w:rsidP="00195FA5"/>
    <w:p w:rsidR="0006019A" w:rsidRDefault="0006019A" w:rsidP="0006019A">
      <w:pPr>
        <w:pStyle w:val="Heading2"/>
      </w:pPr>
      <w:bookmarkStart w:id="10" w:name="_Toc475478010"/>
      <w:r>
        <w:t>Analysis of the results to determine whether the results are credit</w:t>
      </w:r>
      <w:bookmarkEnd w:id="10"/>
      <w:r>
        <w:t xml:space="preserve"> </w:t>
      </w:r>
    </w:p>
    <w:p w:rsidR="0006019A" w:rsidRPr="0006019A" w:rsidRDefault="0006019A" w:rsidP="0006019A">
      <w:pPr>
        <w:pStyle w:val="Heading3"/>
      </w:pPr>
      <w:bookmarkStart w:id="11" w:name="_Toc475478011"/>
      <w:r>
        <w:t>Key differences and explanations</w:t>
      </w:r>
      <w:bookmarkEnd w:id="11"/>
    </w:p>
    <w:p w:rsidR="0006019A" w:rsidRDefault="0006019A" w:rsidP="0006019A">
      <w:pPr>
        <w:pStyle w:val="Heading2"/>
      </w:pPr>
      <w:bookmarkStart w:id="12" w:name="_Toc475478013"/>
      <w:r>
        <w:t>Observations</w:t>
      </w:r>
      <w:bookmarkEnd w:id="12"/>
    </w:p>
    <w:p w:rsidR="003F23CE" w:rsidRDefault="003F23CE" w:rsidP="003F23CE">
      <w:r>
        <w:t>Monthly data so tested on daily/weekly</w:t>
      </w:r>
    </w:p>
    <w:p w:rsidR="001A5463" w:rsidRPr="003F23CE" w:rsidRDefault="001A5463" w:rsidP="003F23CE">
      <w:r>
        <w:t>Effect of all or nothing</w:t>
      </w:r>
    </w:p>
    <w:p w:rsidR="00AE76CF" w:rsidRPr="00AE76CF" w:rsidRDefault="00AE76CF" w:rsidP="00AE76CF">
      <w:pPr>
        <w:pStyle w:val="Heading2"/>
      </w:pPr>
      <w:bookmarkStart w:id="13" w:name="_Toc475478014"/>
      <w:r>
        <w:t>The model applied to a typical</w:t>
      </w:r>
      <w:r w:rsidR="009F2229">
        <w:t xml:space="preserve"> SA </w:t>
      </w:r>
      <w:r>
        <w:t xml:space="preserve">Asset </w:t>
      </w:r>
      <w:r w:rsidR="009F2229">
        <w:t>Allocation</w:t>
      </w:r>
      <w:bookmarkEnd w:id="13"/>
      <w:r w:rsidR="009F2229">
        <w:t xml:space="preserve"> </w:t>
      </w:r>
    </w:p>
    <w:p w:rsidR="009F2229" w:rsidRDefault="00AE76CF" w:rsidP="00AE76CF">
      <w:pPr>
        <w:pStyle w:val="Heading2"/>
      </w:pPr>
      <w:bookmarkStart w:id="14" w:name="_Toc475478015"/>
      <w:r>
        <w:t>The model applied to a typical SA Asset Allocation</w:t>
      </w:r>
      <w:bookmarkEnd w:id="14"/>
      <w:r w:rsidRPr="00CD35BD">
        <w:t xml:space="preserve"> </w:t>
      </w:r>
    </w:p>
    <w:p w:rsidR="00490943" w:rsidRPr="00490943" w:rsidRDefault="00490943" w:rsidP="00490943">
      <w:pPr>
        <w:pStyle w:val="Heading2"/>
      </w:pPr>
    </w:p>
    <w:p w:rsidR="00180072" w:rsidRDefault="00180072">
      <w:pPr>
        <w:rPr>
          <w:rFonts w:asciiTheme="majorHAnsi" w:eastAsiaTheme="majorEastAsia" w:hAnsiTheme="majorHAnsi" w:cstheme="majorBidi"/>
          <w:color w:val="2F5496" w:themeColor="accent1" w:themeShade="BF"/>
          <w:sz w:val="32"/>
          <w:szCs w:val="32"/>
        </w:rPr>
      </w:pPr>
      <w:r>
        <w:br w:type="page"/>
      </w:r>
    </w:p>
    <w:p w:rsidR="005842BD" w:rsidRDefault="009E6D6E" w:rsidP="00490943">
      <w:pPr>
        <w:pStyle w:val="Heading1"/>
      </w:pPr>
      <w:bookmarkStart w:id="15" w:name="_Toc475478016"/>
      <w:r>
        <w:lastRenderedPageBreak/>
        <w:t xml:space="preserve">Diversification and </w:t>
      </w:r>
      <w:r w:rsidR="005842BD">
        <w:t>Modern Portfolio Theory</w:t>
      </w:r>
      <w:bookmarkEnd w:id="15"/>
    </w:p>
    <w:p w:rsidR="009E1BB2" w:rsidRDefault="00F307E1" w:rsidP="005842BD">
      <w:r>
        <w:t>One of the core drivers</w:t>
      </w:r>
      <w:r w:rsidR="009E1BB2">
        <w:t xml:space="preserve"> </w:t>
      </w:r>
      <w:r>
        <w:t xml:space="preserve">of </w:t>
      </w:r>
      <w:r w:rsidR="009E1BB2">
        <w:t xml:space="preserve">the </w:t>
      </w:r>
      <w:r>
        <w:t xml:space="preserve">absolute returns in Faber’s paper </w:t>
      </w:r>
      <w:r w:rsidR="009E1BB2">
        <w:t xml:space="preserve">is diversification, both </w:t>
      </w:r>
      <w:r>
        <w:t>for the buy and hold model as well as</w:t>
      </w:r>
      <w:r w:rsidR="009E1BB2">
        <w:t xml:space="preserve"> the timing model.</w:t>
      </w:r>
    </w:p>
    <w:p w:rsidR="009E6D6E" w:rsidRDefault="00024282" w:rsidP="005842BD">
      <w:r>
        <w:t xml:space="preserve">The benefits of diversification have been </w:t>
      </w:r>
      <w:r w:rsidR="009E6D6E">
        <w:t>acknowledged</w:t>
      </w:r>
      <w:r>
        <w:t xml:space="preserve"> for thousands of years. </w:t>
      </w:r>
      <w:r w:rsidR="009E1BB2">
        <w:t>M</w:t>
      </w:r>
      <w:r w:rsidR="00CB63A2">
        <w:t xml:space="preserve">entioned </w:t>
      </w:r>
      <w:r>
        <w:t xml:space="preserve">in the Bible book of Ecclesiastes </w:t>
      </w:r>
      <w:r w:rsidR="00D4155F">
        <w:t xml:space="preserve">estimated to be written as early as 935 BC, </w:t>
      </w:r>
      <w:r w:rsidR="005B317A">
        <w:t xml:space="preserve">to more recently </w:t>
      </w:r>
      <w:r w:rsidR="009E6D6E">
        <w:t>with</w:t>
      </w:r>
      <w:r>
        <w:t xml:space="preserve">in Shakespeare’s Merchant of Venice, </w:t>
      </w:r>
      <w:r w:rsidR="009E1BB2">
        <w:t>d</w:t>
      </w:r>
      <w:r>
        <w:t xml:space="preserve">iversification is a concept captured </w:t>
      </w:r>
      <w:r w:rsidR="009E6D6E">
        <w:t xml:space="preserve">simply </w:t>
      </w:r>
      <w:r>
        <w:t xml:space="preserve">by the proverb “don’t put all your eggs in one basket”. </w:t>
      </w:r>
      <w:r w:rsidR="00F307E1">
        <w:t>Basically,</w:t>
      </w:r>
      <w:r>
        <w:t xml:space="preserve"> invest in a portfolio of risky </w:t>
      </w:r>
      <w:r w:rsidR="000D7935">
        <w:t>assets</w:t>
      </w:r>
      <w:r w:rsidR="009E6D6E">
        <w:t xml:space="preserve"> and</w:t>
      </w:r>
      <w:r w:rsidR="00F00FE1">
        <w:t xml:space="preserve"> you’ll always have less risk or equal risk to the riskiest asset.</w:t>
      </w:r>
      <w:r w:rsidR="009E6D6E">
        <w:t xml:space="preserve"> </w:t>
      </w:r>
    </w:p>
    <w:p w:rsidR="00024282" w:rsidRDefault="00024282" w:rsidP="005842BD">
      <w:r>
        <w:t xml:space="preserve">In 1952 Dr Harry Markowitz published his seminal paper Portfolio Selection </w:t>
      </w:r>
      <w:r w:rsidR="009E1BB2">
        <w:t>introducing</w:t>
      </w:r>
      <w:r>
        <w:t xml:space="preserve"> practitioners </w:t>
      </w:r>
      <w:r w:rsidR="009E1BB2">
        <w:t xml:space="preserve">to </w:t>
      </w:r>
      <w:r>
        <w:t xml:space="preserve">a mathematical framework that explained the </w:t>
      </w:r>
      <w:r w:rsidR="00F00FE1">
        <w:t xml:space="preserve">well-known </w:t>
      </w:r>
      <w:r>
        <w:t>benefits of portfolio diversification.</w:t>
      </w:r>
      <w:r w:rsidR="000D7935">
        <w:t xml:space="preserve"> </w:t>
      </w:r>
      <w:r w:rsidR="00F00FE1">
        <w:t>Stating</w:t>
      </w:r>
      <w:r w:rsidR="0052197D">
        <w:t xml:space="preserve"> rational</w:t>
      </w:r>
      <w:r w:rsidR="00F00FE1">
        <w:t xml:space="preserve"> </w:t>
      </w:r>
      <w:r w:rsidR="00F307E1">
        <w:t>investors desire</w:t>
      </w:r>
      <w:r w:rsidR="00F00FE1">
        <w:t>d</w:t>
      </w:r>
      <w:r w:rsidR="00F307E1">
        <w:t xml:space="preserve"> returns and dislike</w:t>
      </w:r>
      <w:r w:rsidR="00F00FE1">
        <w:t>d</w:t>
      </w:r>
      <w:r w:rsidR="00F307E1">
        <w:t xml:space="preserve"> variance</w:t>
      </w:r>
      <w:r w:rsidR="00F00FE1">
        <w:t>, he hypothesised the E-V rule used to create efficient portfolios of diversified securities.</w:t>
      </w:r>
      <w:r w:rsidR="00F307E1">
        <w:t xml:space="preserve"> Although </w:t>
      </w:r>
      <w:r w:rsidR="00F00FE1">
        <w:t xml:space="preserve">admitting that diversification could not completely </w:t>
      </w:r>
      <w:r w:rsidR="00F307E1">
        <w:t>eliminate all variance,</w:t>
      </w:r>
      <w:r w:rsidR="00F00FE1">
        <w:t xml:space="preserve"> u</w:t>
      </w:r>
      <w:r w:rsidR="00F307E1">
        <w:t>sing the E-V rule</w:t>
      </w:r>
      <w:r w:rsidR="00F00FE1">
        <w:t xml:space="preserve"> an</w:t>
      </w:r>
      <w:r w:rsidR="000D7935">
        <w:t xml:space="preserve"> investor </w:t>
      </w:r>
      <w:r w:rsidR="00F307E1">
        <w:t xml:space="preserve">is able </w:t>
      </w:r>
      <w:r w:rsidR="000D7935">
        <w:t xml:space="preserve">to </w:t>
      </w:r>
      <w:r w:rsidR="00F00FE1">
        <w:t xml:space="preserve">derive </w:t>
      </w:r>
      <w:r w:rsidR="000D7935">
        <w:t>a</w:t>
      </w:r>
      <w:r w:rsidR="00F00FE1">
        <w:t>n</w:t>
      </w:r>
      <w:r w:rsidR="000D7935">
        <w:t xml:space="preserve"> </w:t>
      </w:r>
      <w:r w:rsidR="00F00FE1">
        <w:t xml:space="preserve">optimal </w:t>
      </w:r>
      <w:r w:rsidR="000D7935">
        <w:t xml:space="preserve">portfolio </w:t>
      </w:r>
      <w:r w:rsidR="00F00FE1">
        <w:t xml:space="preserve">of assets with either the lowest risk </w:t>
      </w:r>
      <w:r w:rsidR="000D7935">
        <w:t>for a given level of</w:t>
      </w:r>
      <w:r w:rsidR="00F00FE1">
        <w:t xml:space="preserve"> expected return or the highest expected return </w:t>
      </w:r>
      <w:r w:rsidR="000D7935">
        <w:t>for a given l</w:t>
      </w:r>
      <w:r w:rsidR="00F00FE1">
        <w:t>evel of risk</w:t>
      </w:r>
      <w:r w:rsidR="000D7935">
        <w:t>.</w:t>
      </w:r>
      <w:r w:rsidR="00F307E1">
        <w:t xml:space="preserve"> Markowitz’s paper</w:t>
      </w:r>
      <w:r w:rsidR="00F00FE1">
        <w:t xml:space="preserve"> notes</w:t>
      </w:r>
      <w:r w:rsidR="00F307E1">
        <w:t xml:space="preserve"> that although the E-V rule identifies diversification as a driver for more efficient portfolios, it requires the right kind of diversification with a selection of securities with low covariances among themselves.</w:t>
      </w:r>
      <w:r w:rsidR="00F00FE1">
        <w:t xml:space="preserve"> Markowitzs work </w:t>
      </w:r>
      <w:r w:rsidR="00CB63A2">
        <w:t>contributed to</w:t>
      </w:r>
      <w:r w:rsidR="00F00FE1">
        <w:t xml:space="preserve"> what is </w:t>
      </w:r>
      <w:r w:rsidR="00CB63A2">
        <w:t xml:space="preserve">known </w:t>
      </w:r>
      <w:r w:rsidR="00F00FE1">
        <w:t xml:space="preserve">today </w:t>
      </w:r>
      <w:r w:rsidR="00CB63A2">
        <w:t xml:space="preserve">as </w:t>
      </w:r>
      <w:r w:rsidR="00F00FE1">
        <w:t>Modern Portfolio Theory and eventually won him a Nobel prize in 1990.</w:t>
      </w:r>
    </w:p>
    <w:p w:rsidR="00F00FE1" w:rsidRDefault="00CB63A2" w:rsidP="005842BD">
      <w:r>
        <w:t>Modern Portfolio Theory has several criticisms.</w:t>
      </w:r>
      <w:r w:rsidR="00F00FE1">
        <w:t xml:space="preserve"> </w:t>
      </w:r>
      <w:r>
        <w:t>The risk, return and correlation inputs into the model are based on expected values assumed to stay constant over time and returns are assumed to follow a Gaussian/normal distribution. Recent global market crashes in 1987, 2001 and 2008 have shown these assumptions to be invalid. [insert chart of correlations between 5 asset classes]</w:t>
      </w:r>
    </w:p>
    <w:p w:rsidR="00CB63A2" w:rsidRDefault="00CB63A2" w:rsidP="005842BD"/>
    <w:p w:rsidR="00F00FE1" w:rsidRDefault="00B520A8" w:rsidP="005842BD">
      <w:r>
        <w:t xml:space="preserve">Today diversification is seen as the only free lunch. Hedge fund trader Andreas Clenow (following the trend pg 52) states that diversification is the single most important factor to influence overall long term results. </w:t>
      </w:r>
    </w:p>
    <w:p w:rsidR="000D7935" w:rsidRDefault="000D7935" w:rsidP="005842BD"/>
    <w:p w:rsidR="000D7935" w:rsidRDefault="000D7935" w:rsidP="005842BD">
      <w:r>
        <w:t>Modern portfolio theory has its faults…</w:t>
      </w:r>
    </w:p>
    <w:p w:rsidR="000D7935" w:rsidRDefault="006A16CD" w:rsidP="005842BD">
      <w:r>
        <w:t>Trend following is…. A simple mechanical trend following strategy helps to avoid behavioural biases humans exhibit when making trading decisions.</w:t>
      </w:r>
    </w:p>
    <w:p w:rsidR="006A16CD" w:rsidRDefault="006A16CD" w:rsidP="005842BD">
      <w:r>
        <w:t>Faber’s simple 5 asset class equal weighted asset allocation, even on a buy and hold basis, presents evidence of the benefits of diversification. The trend following timing overlay results in reduction of volatility from 20% to 10%. Crucially it reduces drawdowns to the point that the investor only experience one down year since 1973, with that being -1%</w:t>
      </w:r>
    </w:p>
    <w:p w:rsidR="000D7935" w:rsidRDefault="000D7935" w:rsidP="005842BD">
      <w:r>
        <w:t>The trend following approach counters these faults…</w:t>
      </w:r>
    </w:p>
    <w:p w:rsidR="000D7935" w:rsidRDefault="006A16CD" w:rsidP="006A16CD">
      <w:r>
        <w:t>Faber (ivy 2009) highlights that a trend following model will underperform</w:t>
      </w:r>
      <w:r w:rsidR="00C753BC">
        <w:t xml:space="preserve"> a</w:t>
      </w:r>
      <w:r>
        <w:t xml:space="preserve"> buy and hold </w:t>
      </w:r>
      <w:r w:rsidR="00C753BC">
        <w:t xml:space="preserve">strategy </w:t>
      </w:r>
      <w:r>
        <w:t xml:space="preserve">during a </w:t>
      </w:r>
      <w:r w:rsidR="00C753BC">
        <w:t>strong bull market. He also highlights the timing requires discipline (value of rules based approach) and you can have multiple losing trades in a row. (Humans don’t like being wrong bias).</w:t>
      </w:r>
    </w:p>
    <w:p w:rsidR="008F3E97" w:rsidRDefault="008F3E97" w:rsidP="006A16CD"/>
    <w:p w:rsidR="008F3E97" w:rsidRDefault="008F3E97" w:rsidP="006A16CD">
      <w:r>
        <w:lastRenderedPageBreak/>
        <w:t>Trend following isn’t about achieving superior absolute returns – its about avoiding the painful drawdowns which destroyed many previous years of gains.</w:t>
      </w:r>
    </w:p>
    <w:p w:rsidR="000D7935" w:rsidRDefault="00B520A8" w:rsidP="008F3E97">
      <w:pPr>
        <w:pStyle w:val="Heading1"/>
        <w:ind w:left="720" w:hanging="720"/>
      </w:pPr>
      <w:r>
        <w:t>Criticism of trend following – look in clenow</w:t>
      </w:r>
    </w:p>
    <w:p w:rsidR="00B520A8" w:rsidRPr="00B520A8" w:rsidRDefault="00B520A8" w:rsidP="00B520A8">
      <w:r>
        <w:t>Long drawdowns, underperformance in bull markets</w:t>
      </w:r>
    </w:p>
    <w:p w:rsidR="00D70BF4" w:rsidRDefault="00D70BF4" w:rsidP="00490943">
      <w:pPr>
        <w:pStyle w:val="Heading1"/>
      </w:pPr>
      <w:bookmarkStart w:id="16" w:name="_Toc475478017"/>
      <w:r>
        <w:t>Observations of the Faber model</w:t>
      </w:r>
      <w:bookmarkEnd w:id="16"/>
    </w:p>
    <w:p w:rsidR="00D70BF4" w:rsidRDefault="00D70BF4" w:rsidP="00D70BF4">
      <w:pPr>
        <w:pStyle w:val="Heading2"/>
      </w:pPr>
      <w:bookmarkStart w:id="17" w:name="_Toc475478018"/>
      <w:r>
        <w:t>Tail risk</w:t>
      </w:r>
      <w:bookmarkEnd w:id="17"/>
    </w:p>
    <w:p w:rsidR="00D31166" w:rsidRDefault="00D31166" w:rsidP="00D31166">
      <w:pPr>
        <w:pStyle w:val="ListParagraph"/>
        <w:numPr>
          <w:ilvl w:val="0"/>
          <w:numId w:val="4"/>
        </w:numPr>
      </w:pPr>
      <w:r>
        <w:t>Negative skew (koulajian and cskwianianc 2011)</w:t>
      </w:r>
    </w:p>
    <w:p w:rsidR="002E1D83" w:rsidRPr="00D31166" w:rsidRDefault="002E1D83" w:rsidP="00D31166">
      <w:pPr>
        <w:pStyle w:val="ListParagraph"/>
        <w:numPr>
          <w:ilvl w:val="0"/>
          <w:numId w:val="4"/>
        </w:numPr>
      </w:pPr>
      <w:r>
        <w:t>Faber (2007) identifies that most common asset classes experience painful drawdowns with multiple 40-100% drawdown examples for each asset class.</w:t>
      </w:r>
    </w:p>
    <w:p w:rsidR="008B600E" w:rsidRPr="008B600E" w:rsidRDefault="008B600E" w:rsidP="008B600E">
      <w:pPr>
        <w:pStyle w:val="Heading2"/>
      </w:pPr>
      <w:bookmarkStart w:id="18" w:name="_Toc475478019"/>
      <w:r>
        <w:t>Trend following</w:t>
      </w:r>
      <w:r w:rsidR="005842BD">
        <w:t xml:space="preserve"> as a solution to modern portfolio selection?</w:t>
      </w:r>
      <w:bookmarkEnd w:id="18"/>
    </w:p>
    <w:p w:rsidR="00027946" w:rsidRDefault="00027946" w:rsidP="00D31166">
      <w:pPr>
        <w:pStyle w:val="ListParagraph"/>
        <w:numPr>
          <w:ilvl w:val="0"/>
          <w:numId w:val="3"/>
        </w:numPr>
      </w:pPr>
      <w:r>
        <w:t>Trend following is a simple concept – find a trend and follow it. When things move against you or when the trend isn’t there, cut your losses.</w:t>
      </w:r>
    </w:p>
    <w:p w:rsidR="00027946" w:rsidRDefault="00027946" w:rsidP="00D31166">
      <w:pPr>
        <w:pStyle w:val="ListParagraph"/>
        <w:numPr>
          <w:ilvl w:val="0"/>
          <w:numId w:val="3"/>
        </w:numPr>
      </w:pPr>
      <w:r>
        <w:t xml:space="preserve">The strategy has had plenty of criticism over the years – especially from classical economists </w:t>
      </w:r>
      <w:r w:rsidR="00307611">
        <w:t>preaching efficient markets – however performance numbers, especially during recent periods of extreme equity markets drawdowns, have increased practitioner followers.</w:t>
      </w:r>
    </w:p>
    <w:p w:rsidR="00307611" w:rsidRDefault="00307611" w:rsidP="00D31166">
      <w:pPr>
        <w:pStyle w:val="ListParagraph"/>
        <w:numPr>
          <w:ilvl w:val="0"/>
          <w:numId w:val="3"/>
        </w:numPr>
      </w:pPr>
      <w:r>
        <w:t>Drivers of trends (kaminski)</w:t>
      </w:r>
    </w:p>
    <w:p w:rsidR="00307611" w:rsidRDefault="00307611" w:rsidP="00307611">
      <w:pPr>
        <w:pStyle w:val="ListParagraph"/>
        <w:numPr>
          <w:ilvl w:val="1"/>
          <w:numId w:val="3"/>
        </w:numPr>
      </w:pPr>
      <w:r>
        <w:t>Risk transfer (from hedgers to speculators)</w:t>
      </w:r>
    </w:p>
    <w:p w:rsidR="00307611" w:rsidRDefault="00307611" w:rsidP="00307611">
      <w:pPr>
        <w:pStyle w:val="ListParagraph"/>
        <w:numPr>
          <w:ilvl w:val="1"/>
          <w:numId w:val="3"/>
        </w:numPr>
      </w:pPr>
      <w:r>
        <w:t>Process of information dissemination</w:t>
      </w:r>
    </w:p>
    <w:p w:rsidR="00307611" w:rsidRDefault="00307611" w:rsidP="00307611">
      <w:pPr>
        <w:pStyle w:val="ListParagraph"/>
        <w:numPr>
          <w:ilvl w:val="1"/>
          <w:numId w:val="3"/>
        </w:numPr>
      </w:pPr>
      <w:r>
        <w:t>Behavioural biases</w:t>
      </w:r>
    </w:p>
    <w:p w:rsidR="00307611" w:rsidRDefault="00307611" w:rsidP="00307611">
      <w:pPr>
        <w:pStyle w:val="ListParagraph"/>
        <w:numPr>
          <w:ilvl w:val="0"/>
          <w:numId w:val="3"/>
        </w:numPr>
      </w:pPr>
      <w:r>
        <w:t>Ultimately trend followers don’t care about the underlying reason.</w:t>
      </w:r>
    </w:p>
    <w:p w:rsidR="00307611" w:rsidRDefault="00307611" w:rsidP="00307611">
      <w:pPr>
        <w:pStyle w:val="ListParagraph"/>
        <w:numPr>
          <w:ilvl w:val="0"/>
          <w:numId w:val="3"/>
        </w:numPr>
      </w:pPr>
      <w:r>
        <w:t>Kaminski shows performanc</w:t>
      </w:r>
      <w:r w:rsidR="001F431D">
        <w:t>e statistics from 1223 to 2013 using a simple trend following strategy over a unique dataset for 84 markets in equity, fixed income, foreign exchange and commodity markets. The resulting average returns (13% vs 4.8% for buy and hold) with similar standard deviation (11.2% vs 10.3# for buy and hold) gives the trend following strategy a far superior sharpe ratio (1.16 vs 0.47 for the buy and hold) highlighting the value in actively trading vs passively buying and holding.</w:t>
      </w:r>
    </w:p>
    <w:p w:rsidR="000C5614" w:rsidRDefault="00D31166" w:rsidP="00D31166">
      <w:pPr>
        <w:pStyle w:val="ListParagraph"/>
        <w:numPr>
          <w:ilvl w:val="0"/>
          <w:numId w:val="3"/>
        </w:numPr>
      </w:pPr>
      <w:r>
        <w:t>Markets are known to rise on the elavtor fall by the lift</w:t>
      </w:r>
    </w:p>
    <w:p w:rsidR="00D31166" w:rsidRDefault="00D31166" w:rsidP="00D31166">
      <w:pPr>
        <w:pStyle w:val="ListParagraph"/>
        <w:numPr>
          <w:ilvl w:val="0"/>
          <w:numId w:val="3"/>
        </w:numPr>
      </w:pPr>
      <w:r>
        <w:t xml:space="preserve">Trend following is generally rules it mechanically cuts losses and lets winner run – opposite to investors natural </w:t>
      </w:r>
      <w:r w:rsidR="00027946">
        <w:t>instincts</w:t>
      </w:r>
      <w:r>
        <w:t>.</w:t>
      </w:r>
      <w:r w:rsidR="00027946">
        <w:t xml:space="preserve"> Mechanical strategies remove discretionary decisions which may be subject to behaviour biases. (Covel pg 11)</w:t>
      </w:r>
    </w:p>
    <w:p w:rsidR="00D31166" w:rsidRDefault="00D31166" w:rsidP="00D31166">
      <w:pPr>
        <w:pStyle w:val="ListParagraph"/>
        <w:numPr>
          <w:ilvl w:val="0"/>
          <w:numId w:val="3"/>
        </w:numPr>
      </w:pPr>
      <w:r>
        <w:t>“Ilmanen (2011) and Friesen et all (2009) offer explanations as to why trend following may have been successful historically, including the tendancy for investors to underreact to news and their tendancy to exhibit herding behaviour”  - trend is our fried clare et all</w:t>
      </w:r>
    </w:p>
    <w:p w:rsidR="00FA540B" w:rsidRDefault="00FA540B" w:rsidP="00D31166">
      <w:pPr>
        <w:pStyle w:val="ListParagraph"/>
        <w:numPr>
          <w:ilvl w:val="0"/>
          <w:numId w:val="3"/>
        </w:numPr>
      </w:pPr>
      <w:r>
        <w:t>Trend following reduces both volatility by being out of markets during substantial periods of devline, reducing drawdowns for the investor.</w:t>
      </w:r>
    </w:p>
    <w:p w:rsidR="00FA540B" w:rsidRDefault="00FA540B" w:rsidP="00D31166">
      <w:pPr>
        <w:pStyle w:val="ListParagraph"/>
        <w:numPr>
          <w:ilvl w:val="0"/>
          <w:numId w:val="3"/>
        </w:numPr>
      </w:pPr>
      <w:r>
        <w:t>Are all asset classes negatively skewed? If so (equities go up the stairs, down the lift) then trend following helps cut the losses</w:t>
      </w:r>
      <w:r w:rsidR="002E1D83">
        <w:t>. In times of panic, the majority of investors are net long? Panic creates fear of losing. Faster emotional than greed?</w:t>
      </w:r>
    </w:p>
    <w:p w:rsidR="00027946" w:rsidRDefault="00027946" w:rsidP="00D31166">
      <w:pPr>
        <w:pStyle w:val="ListParagraph"/>
        <w:numPr>
          <w:ilvl w:val="0"/>
          <w:numId w:val="3"/>
        </w:numPr>
      </w:pPr>
    </w:p>
    <w:p w:rsidR="005B317A" w:rsidRDefault="005B317A" w:rsidP="00D31166">
      <w:pPr>
        <w:pStyle w:val="Heading2"/>
      </w:pPr>
      <w:bookmarkStart w:id="19" w:name="_Toc475478020"/>
      <w:r>
        <w:t>Behavioural issues with the strategy</w:t>
      </w:r>
      <w:bookmarkEnd w:id="19"/>
    </w:p>
    <w:p w:rsidR="005B317A" w:rsidRDefault="005B317A" w:rsidP="005B317A">
      <w:r>
        <w:t xml:space="preserve">Although the diversification in the asset allocation reduces volatility risk, investors exhibit behavioural biases which work against the strategy. </w:t>
      </w:r>
    </w:p>
    <w:p w:rsidR="007B65A3" w:rsidRDefault="005B317A" w:rsidP="007B65A3">
      <w:r>
        <w:lastRenderedPageBreak/>
        <w:t>Tracking error aversion: investors are likely to track their investment to popular benchmarks like the S&amp;P 500. Any underperformance relative to this benchmark, or even the buy and hold version of the asset allocation, will create doubt for the investor that they have selected the right strategy. Of course with hindsight it will be easy to identify the perfect asset allocation, removing asset classes that have underperformed and replacing them with allocations to the best perofmraning asset allocations. However would investors have been able to stick with this strategy. [Talk about study by newfound about god being a manager and how he would be fired]</w:t>
      </w:r>
      <w:r w:rsidR="007B65A3">
        <w:t>. Faber identifies his strategy underperforming in bull markets such as the equities market in 1990s. During these times will investors be able to stick to the strategy despite it underperforming each year. [look at rolling returns]. Humans are fickle, every bull market is apparently different and we have learned from the past. Humans greed / fear of missing out compared to the neighbours</w:t>
      </w:r>
    </w:p>
    <w:p w:rsidR="00FA540B" w:rsidRDefault="00FA540B" w:rsidP="007B65A3">
      <w:pPr>
        <w:rPr>
          <w:i/>
        </w:rPr>
      </w:pPr>
      <w:r>
        <w:t>Doing nothing</w:t>
      </w:r>
      <w:r w:rsidR="007B65A3">
        <w:t>: w</w:t>
      </w:r>
      <w:r>
        <w:t xml:space="preserve">ith a timing model investors need to be able to follow the rules – might not be able to sit on their hands. </w:t>
      </w:r>
      <w:r w:rsidRPr="00FA540B">
        <w:rPr>
          <w:i/>
        </w:rPr>
        <w:t>There is the plain fool, who does the wrong thing at all times everywhere, but there is also the Wall Street fool, who thinks he must trade all the time. Lefevre (reminiscences of a stock operator)</w:t>
      </w:r>
    </w:p>
    <w:p w:rsidR="00FA540B" w:rsidRDefault="00FA540B" w:rsidP="007B65A3">
      <w:pPr>
        <w:pStyle w:val="ListParagraph"/>
        <w:numPr>
          <w:ilvl w:val="0"/>
          <w:numId w:val="7"/>
        </w:numPr>
        <w:rPr>
          <w:i/>
        </w:rPr>
      </w:pPr>
      <w:r w:rsidRPr="00FA540B">
        <w:rPr>
          <w:i/>
        </w:rPr>
        <w:t>The market does not beat them.  They beat themselves, because though they have brains they cannot sit tight.  Old Turkey was dead right in doing and saying what he did.  He had not only the courage of his convictions but also the intelligence and patience to sit tight.</w:t>
      </w:r>
    </w:p>
    <w:p w:rsidR="00FA540B" w:rsidRPr="00FA540B" w:rsidRDefault="00FA540B" w:rsidP="007B65A3">
      <w:pPr>
        <w:pStyle w:val="ListParagraph"/>
        <w:numPr>
          <w:ilvl w:val="0"/>
          <w:numId w:val="7"/>
        </w:numPr>
      </w:pPr>
      <w:r w:rsidRPr="00FA540B">
        <w:t>In times of underperformance?</w:t>
      </w:r>
    </w:p>
    <w:p w:rsidR="00D31166" w:rsidRDefault="00D31166" w:rsidP="00D31166"/>
    <w:p w:rsidR="00D31166" w:rsidRDefault="00D31166" w:rsidP="00D31166">
      <w:pPr>
        <w:pStyle w:val="Heading2"/>
      </w:pPr>
      <w:bookmarkStart w:id="20" w:name="_Toc475478021"/>
      <w:r>
        <w:t>Further Extensions</w:t>
      </w:r>
      <w:bookmarkEnd w:id="20"/>
    </w:p>
    <w:p w:rsidR="00C753BC" w:rsidRDefault="00C753BC" w:rsidP="00FA540B">
      <w:pPr>
        <w:pStyle w:val="ListParagraph"/>
        <w:numPr>
          <w:ilvl w:val="0"/>
          <w:numId w:val="6"/>
        </w:numPr>
      </w:pPr>
      <w:r>
        <w:t xml:space="preserve">More asset classes: </w:t>
      </w:r>
    </w:p>
    <w:p w:rsidR="00D31166" w:rsidRDefault="00FA540B" w:rsidP="00C753BC">
      <w:pPr>
        <w:pStyle w:val="ListParagraph"/>
        <w:numPr>
          <w:ilvl w:val="1"/>
          <w:numId w:val="6"/>
        </w:numPr>
      </w:pPr>
      <w:r>
        <w:t>We have only looked at asset classes in these example. Clare et all (2012 pg 8) research shows splitting an asset class into its components parts add value. Although perhaps too time consuming for retail investors, institutional investors could target better risk adjusted returns applying these strategies on individual assets within these broad asset classes.</w:t>
      </w:r>
    </w:p>
    <w:p w:rsidR="00C753BC" w:rsidRDefault="00C753BC" w:rsidP="00C753BC">
      <w:pPr>
        <w:pStyle w:val="ListParagraph"/>
        <w:numPr>
          <w:ilvl w:val="1"/>
          <w:numId w:val="6"/>
        </w:numPr>
      </w:pPr>
      <w:r>
        <w:t>Also add different asset classes – comment on how more and more is becoming available. Perhaps bitcoin as an example of an uncorrelated asset that could improve results.</w:t>
      </w:r>
    </w:p>
    <w:p w:rsidR="00C753BC" w:rsidRDefault="00C753BC" w:rsidP="00FA540B">
      <w:pPr>
        <w:pStyle w:val="ListParagraph"/>
        <w:numPr>
          <w:ilvl w:val="0"/>
          <w:numId w:val="6"/>
        </w:numPr>
      </w:pPr>
      <w:r>
        <w:t>Long short model (pg 158 faber ivy)</w:t>
      </w:r>
    </w:p>
    <w:p w:rsidR="00C753BC" w:rsidRDefault="00C753BC" w:rsidP="00FA540B">
      <w:pPr>
        <w:pStyle w:val="ListParagraph"/>
        <w:numPr>
          <w:ilvl w:val="0"/>
          <w:numId w:val="6"/>
        </w:numPr>
      </w:pPr>
      <w:r>
        <w:t>No bonds – already exposed to fixed income through treasuries – can remove and increase returns. However this will remove downside?</w:t>
      </w:r>
    </w:p>
    <w:p w:rsidR="00C753BC" w:rsidRPr="00D31166" w:rsidRDefault="00C753BC" w:rsidP="00FA540B">
      <w:pPr>
        <w:pStyle w:val="ListParagraph"/>
        <w:numPr>
          <w:ilvl w:val="0"/>
          <w:numId w:val="6"/>
        </w:numPr>
      </w:pPr>
      <w:r>
        <w:t>High vol asset classes give better returns on a timing strategy (faber ivy 2009)</w:t>
      </w:r>
    </w:p>
    <w:p w:rsidR="00D31166" w:rsidRDefault="00D31166" w:rsidP="00D31166"/>
    <w:p w:rsidR="000C5614" w:rsidRDefault="000C5614" w:rsidP="000C5614">
      <w:pPr>
        <w:pStyle w:val="Heading2"/>
      </w:pPr>
      <w:bookmarkStart w:id="21" w:name="_Toc475478022"/>
      <w:r>
        <w:t>Leverage and Portfolio theory</w:t>
      </w:r>
      <w:bookmarkEnd w:id="21"/>
    </w:p>
    <w:p w:rsidR="000C5614" w:rsidRPr="000C5614" w:rsidRDefault="0085446E" w:rsidP="000C5614">
      <w:r>
        <w:t>Portfolio theory is you find the optimal portfolio and leverage up. Problem with leverage is it can be fatal for levered investors. Based on volatility. Past volatility. But what does volatility actually mean for an investor. Take 2008 (inker 2010) a levered investor would have been forced to sell…</w:t>
      </w:r>
    </w:p>
    <w:p w:rsidR="00490943" w:rsidRDefault="00490943" w:rsidP="00490943">
      <w:pPr>
        <w:pStyle w:val="Heading1"/>
      </w:pPr>
      <w:bookmarkStart w:id="22" w:name="_Toc475478023"/>
      <w:r>
        <w:t>Practical implications for Institutional and Retail Investors</w:t>
      </w:r>
      <w:bookmarkEnd w:id="22"/>
    </w:p>
    <w:p w:rsidR="00D70BF4" w:rsidRDefault="00D70BF4" w:rsidP="00D70BF4">
      <w:r>
        <w:t>Retail costs, behavioural finance aspects of sitting in strategy underperforming, too simple?</w:t>
      </w:r>
    </w:p>
    <w:p w:rsidR="00D70BF4" w:rsidRPr="00D70BF4" w:rsidRDefault="00D70BF4" w:rsidP="00D70BF4">
      <w:r>
        <w:t>Institutional investor benchmarks</w:t>
      </w:r>
    </w:p>
    <w:p w:rsidR="00554DB0" w:rsidRDefault="00554DB0" w:rsidP="00554DB0">
      <w:pPr>
        <w:pStyle w:val="Heading1"/>
      </w:pPr>
      <w:bookmarkStart w:id="23" w:name="_Toc475478024"/>
      <w:r>
        <w:lastRenderedPageBreak/>
        <w:t>Active vs Passive</w:t>
      </w:r>
      <w:bookmarkEnd w:id="23"/>
    </w:p>
    <w:p w:rsidR="00554DB0" w:rsidRDefault="00554DB0" w:rsidP="00554DB0">
      <w:r>
        <w:t>Evidence should an active model can consistently beat passive</w:t>
      </w:r>
    </w:p>
    <w:p w:rsidR="008C7798" w:rsidRDefault="008C7798">
      <w:pPr>
        <w:rPr>
          <w:rFonts w:asciiTheme="majorHAnsi" w:eastAsiaTheme="majorEastAsia" w:hAnsiTheme="majorHAnsi" w:cstheme="majorBidi"/>
          <w:color w:val="2F5496" w:themeColor="accent1" w:themeShade="BF"/>
          <w:sz w:val="32"/>
          <w:szCs w:val="32"/>
        </w:rPr>
      </w:pPr>
      <w:bookmarkStart w:id="24" w:name="_Toc475478025"/>
      <w:r>
        <w:br w:type="page"/>
      </w:r>
    </w:p>
    <w:p w:rsidR="00554DB0" w:rsidRDefault="008C7798" w:rsidP="00554DB0">
      <w:pPr>
        <w:pStyle w:val="Heading1"/>
      </w:pPr>
      <w:r>
        <w:lastRenderedPageBreak/>
        <w:t xml:space="preserve">Timing Strategy and the Financialisation of </w:t>
      </w:r>
      <w:r w:rsidR="00554DB0">
        <w:t>commodities</w:t>
      </w:r>
      <w:bookmarkEnd w:id="24"/>
    </w:p>
    <w:p w:rsidR="00F44038" w:rsidRDefault="00F44038" w:rsidP="00F44038">
      <w:pPr>
        <w:pStyle w:val="ListParagraph"/>
        <w:numPr>
          <w:ilvl w:val="0"/>
          <w:numId w:val="11"/>
        </w:numPr>
      </w:pPr>
      <w:r>
        <w:t xml:space="preserve">Its clear since Faber’s original paper performance numbers haven’t been as rosy? ?For gtaa and buy and hold? </w:t>
      </w:r>
    </w:p>
    <w:p w:rsidR="00F44038" w:rsidRDefault="00F44038" w:rsidP="00F44038">
      <w:pPr>
        <w:pStyle w:val="ListParagraph"/>
        <w:numPr>
          <w:ilvl w:val="0"/>
          <w:numId w:val="11"/>
        </w:numPr>
      </w:pPr>
      <w:r>
        <w:t>Reviewing the asset allocation with hindsight</w:t>
      </w:r>
      <w:r w:rsidR="00BC0897">
        <w:t>, without question commodities (</w:t>
      </w:r>
      <w:r>
        <w:t>GSCI</w:t>
      </w:r>
      <w:r w:rsidR="00BC0897">
        <w:t>)</w:t>
      </w:r>
      <w:r>
        <w:t xml:space="preserve"> has dragged down the overall performance.</w:t>
      </w:r>
    </w:p>
    <w:p w:rsidR="00F44038" w:rsidRDefault="00F44038" w:rsidP="00F44038">
      <w:pPr>
        <w:pStyle w:val="ListParagraph"/>
        <w:numPr>
          <w:ilvl w:val="0"/>
          <w:numId w:val="11"/>
        </w:numPr>
      </w:pPr>
      <w:r>
        <w:t>Since 2006</w:t>
      </w:r>
      <w:r w:rsidR="00BC0897">
        <w:t>, the GSCI</w:t>
      </w:r>
      <w:r>
        <w:t xml:space="preserve"> has </w:t>
      </w:r>
      <w:r w:rsidR="00BC0897">
        <w:t xml:space="preserve">a </w:t>
      </w:r>
      <w:r>
        <w:t xml:space="preserve">CAGR of -8.71%, the highest volatility of </w:t>
      </w:r>
      <w:r w:rsidR="00BC0897">
        <w:t xml:space="preserve">all assets of </w:t>
      </w:r>
      <w:r>
        <w:t>23.6% as well as a max drawdown of 80.9% in a period where the equity and bond returns have continued to give a positive CAGR despite a market crash in 2008.</w:t>
      </w:r>
    </w:p>
    <w:p w:rsidR="00F44038" w:rsidRDefault="00F44038" w:rsidP="00F44038">
      <w:pPr>
        <w:pStyle w:val="ListParagraph"/>
        <w:numPr>
          <w:ilvl w:val="0"/>
          <w:numId w:val="11"/>
        </w:numPr>
      </w:pPr>
      <w:r>
        <w:t>Without commodities in the portfolio since 1972 the buy and hold would have returned X% with vol of y% and a sharpe ratio of Z which is better/worse. The GTAA would have returned…</w:t>
      </w:r>
    </w:p>
    <w:p w:rsidR="00F44038" w:rsidRDefault="00F44038" w:rsidP="00F44038">
      <w:pPr>
        <w:pStyle w:val="ListParagraph"/>
        <w:numPr>
          <w:ilvl w:val="0"/>
          <w:numId w:val="11"/>
        </w:numPr>
      </w:pPr>
      <w:r>
        <w:t>Since 2006, without commodities the buy and hold would have returned… the gtaa wold have returned…</w:t>
      </w:r>
    </w:p>
    <w:p w:rsidR="00F44038" w:rsidRDefault="00F44038" w:rsidP="00F44038">
      <w:pPr>
        <w:pStyle w:val="ListParagraph"/>
        <w:numPr>
          <w:ilvl w:val="0"/>
          <w:numId w:val="11"/>
        </w:numPr>
      </w:pPr>
    </w:p>
    <w:p w:rsidR="009D4D64" w:rsidRDefault="009D4D64" w:rsidP="004713AD">
      <w:pPr>
        <w:pStyle w:val="ListParagraph"/>
        <w:numPr>
          <w:ilvl w:val="0"/>
          <w:numId w:val="11"/>
        </w:numPr>
      </w:pPr>
      <w:r>
        <w:t>Two</w:t>
      </w:r>
      <w:r w:rsidR="00BC0897">
        <w:t xml:space="preserve"> years before Faber first released his first working version of A Quantitative Approach to Tactical Asset Allocation (2006), Gorton and Rouwenhorst</w:t>
      </w:r>
      <w:r w:rsidR="00111F6A">
        <w:t xml:space="preserve"> released a </w:t>
      </w:r>
      <w:r w:rsidR="00BC0897">
        <w:t>working</w:t>
      </w:r>
      <w:r w:rsidR="00111F6A">
        <w:t xml:space="preserve"> paper</w:t>
      </w:r>
      <w:r>
        <w:t xml:space="preserve"> of Facts and Fantasies About Commodity Futures (2004)</w:t>
      </w:r>
      <w:r w:rsidR="00111F6A">
        <w:t xml:space="preserve"> highlighting commodit</w:t>
      </w:r>
      <w:r>
        <w:t>ies as an ideal diversifier for</w:t>
      </w:r>
      <w:r w:rsidR="00111F6A">
        <w:t xml:space="preserve"> equity and bond portfolios. They showed that an equal weighted index of commodity futures between 1959 and 2004 produced equity-like returns, slightly lower risk than stocks as measured by standard deviation and less downside risk due to positively skewed</w:t>
      </w:r>
      <w:r w:rsidR="00BC0897">
        <w:t xml:space="preserve"> returns with relatively high kurtosis.</w:t>
      </w:r>
      <w:r w:rsidR="00111F6A">
        <w:t xml:space="preserve"> </w:t>
      </w:r>
      <w:r w:rsidR="00BC0897">
        <w:t xml:space="preserve">With a negative correlation </w:t>
      </w:r>
      <w:r>
        <w:t>with</w:t>
      </w:r>
      <w:r w:rsidR="00BC0897">
        <w:t xml:space="preserve"> both stocks and bonds over most horizons</w:t>
      </w:r>
      <w:r>
        <w:t>, they concluded commodities as being an especially effective in providing diversification over both stock and bond portfolios.</w:t>
      </w:r>
      <w:r w:rsidR="005616D1">
        <w:t xml:space="preserve"> </w:t>
      </w:r>
    </w:p>
    <w:p w:rsidR="004678D5" w:rsidRDefault="005616D1" w:rsidP="004713AD">
      <w:pPr>
        <w:pStyle w:val="ListParagraph"/>
        <w:numPr>
          <w:ilvl w:val="0"/>
          <w:numId w:val="11"/>
        </w:numPr>
      </w:pPr>
      <w:r>
        <w:t>In 2006  Ibbotson Associates and Pimco released a report titled Strategic Asset Al</w:t>
      </w:r>
      <w:r w:rsidR="006A3883">
        <w:t>location and C</w:t>
      </w:r>
      <w:r>
        <w:t xml:space="preserve">ommodities [2006] that analysed the role of commodities within </w:t>
      </w:r>
      <w:r w:rsidR="006A3883">
        <w:t xml:space="preserve">a </w:t>
      </w:r>
      <w:r>
        <w:t>strategic asset allocation</w:t>
      </w:r>
      <w:r w:rsidR="006A3883">
        <w:t xml:space="preserve"> setting</w:t>
      </w:r>
      <w:r>
        <w:t xml:space="preserve">. </w:t>
      </w:r>
      <w:r w:rsidR="006A3883">
        <w:t>Comparing the returns</w:t>
      </w:r>
      <w:r w:rsidR="004678D5">
        <w:t xml:space="preserve"> from 1970 to 2005</w:t>
      </w:r>
      <w:r w:rsidR="006A3883">
        <w:t xml:space="preserve"> of a composite commodity index against US and International stocks, US and International Bonds, Treasury Bills and Inflation, they found that commo</w:t>
      </w:r>
      <w:r w:rsidR="004678D5">
        <w:t>dities were the top perform</w:t>
      </w:r>
      <w:r w:rsidR="006A3883">
        <w:t>ing asset</w:t>
      </w:r>
      <w:r w:rsidR="004678D5">
        <w:t>. During periods of high inflation commodities had the highest arithmetic and compounded returns by a wide margin and in periods of low margin still returned double digit returns. Ibbotson Associates also identified that commodities had the lowest average correlation to the other asset classes, concluding that including commodities in an asset allocation improved the risk return characteristics of the efficient frontier.</w:t>
      </w:r>
    </w:p>
    <w:p w:rsidR="00216B37" w:rsidRDefault="006726CE" w:rsidP="004713AD">
      <w:pPr>
        <w:pStyle w:val="ListParagraph"/>
        <w:numPr>
          <w:ilvl w:val="0"/>
          <w:numId w:val="11"/>
        </w:numPr>
      </w:pPr>
      <w:r>
        <w:t>These papers combined with other literature [</w:t>
      </w:r>
      <w:r w:rsidR="00E400E1">
        <w:t xml:space="preserve">Erb and Harvey, </w:t>
      </w:r>
      <w:r>
        <w:t xml:space="preserve">2004) and adsa] drove interest in commodities </w:t>
      </w:r>
      <w:r w:rsidR="00E400E1">
        <w:t xml:space="preserve">to improve risk adjusted </w:t>
      </w:r>
      <w:r w:rsidR="007A0802">
        <w:t xml:space="preserve">portfolio </w:t>
      </w:r>
      <w:r w:rsidR="00E400E1">
        <w:t>performance</w:t>
      </w:r>
      <w:r>
        <w:t xml:space="preserve"> and resulted in a significant increase of long only investment via financial instruments such as futures.</w:t>
      </w:r>
      <w:r w:rsidR="007A0802">
        <w:t xml:space="preserve"> The</w:t>
      </w:r>
      <w:r>
        <w:t xml:space="preserve"> process </w:t>
      </w:r>
      <w:r w:rsidR="007A0802">
        <w:t xml:space="preserve">first </w:t>
      </w:r>
      <w:r w:rsidR="00E400E1">
        <w:t>named</w:t>
      </w:r>
      <w:r>
        <w:t xml:space="preserve"> financialisation by Domanski and Heath (2007)</w:t>
      </w:r>
      <w:r w:rsidR="00E400E1">
        <w:t xml:space="preserve"> </w:t>
      </w:r>
      <w:r w:rsidR="007A0802">
        <w:t>created structural changes</w:t>
      </w:r>
      <w:r w:rsidR="00E400E1">
        <w:t xml:space="preserve"> to the commodities market as a result of </w:t>
      </w:r>
      <w:r w:rsidR="007A0802">
        <w:t xml:space="preserve">hundreds of </w:t>
      </w:r>
      <w:r w:rsidR="00E400E1">
        <w:t>billions of dollars (Irwin and Sanders, 2011</w:t>
      </w:r>
      <w:r w:rsidR="007A0802">
        <w:t xml:space="preserve"> and Bhardwaj, Gorton and Rouwenhorst, 2014</w:t>
      </w:r>
      <w:r w:rsidR="00E400E1">
        <w:t xml:space="preserve">) inflowing into commodity </w:t>
      </w:r>
      <w:r w:rsidR="007A0802">
        <w:t>investments</w:t>
      </w:r>
      <w:r w:rsidR="00E400E1">
        <w:t>.</w:t>
      </w:r>
    </w:p>
    <w:p w:rsidR="006726CE" w:rsidRDefault="007A0802" w:rsidP="004713AD">
      <w:pPr>
        <w:pStyle w:val="ListParagraph"/>
        <w:numPr>
          <w:ilvl w:val="0"/>
          <w:numId w:val="11"/>
        </w:numPr>
      </w:pPr>
      <w:r>
        <w:t xml:space="preserve">Financialisation caused </w:t>
      </w:r>
      <w:r w:rsidR="00216B37">
        <w:t>commodities</w:t>
      </w:r>
      <w:r>
        <w:t xml:space="preserve"> </w:t>
      </w:r>
      <w:r w:rsidR="00216B37">
        <w:t>to no longer be driven purely by commodity fundamentals but rather marco views</w:t>
      </w:r>
      <w:r w:rsidR="0073059B">
        <w:t xml:space="preserve"> [more explanation!</w:t>
      </w:r>
    </w:p>
    <w:p w:rsidR="005616D1" w:rsidRDefault="00216B37" w:rsidP="00604CA9">
      <w:pPr>
        <w:pStyle w:val="ListParagraph"/>
        <w:numPr>
          <w:ilvl w:val="0"/>
          <w:numId w:val="11"/>
        </w:numPr>
      </w:pPr>
      <w:r>
        <w:t>Zaremba (2015) provides one intuitive explanation for this increase in correlation. With an increased number of financial investors holding on to a similar asset allocation of stocks, bonds and commodities, any external shock causing capital outflows will enforce selling of all asset classes in the portfolio causing correlation to rise.</w:t>
      </w:r>
    </w:p>
    <w:p w:rsidR="009D4D64" w:rsidRDefault="009D4D64" w:rsidP="004713AD">
      <w:pPr>
        <w:pStyle w:val="ListParagraph"/>
        <w:numPr>
          <w:ilvl w:val="0"/>
          <w:numId w:val="11"/>
        </w:numPr>
      </w:pPr>
    </w:p>
    <w:p w:rsidR="0073059B" w:rsidRDefault="009D4D64" w:rsidP="004713AD">
      <w:pPr>
        <w:pStyle w:val="ListParagraph"/>
        <w:numPr>
          <w:ilvl w:val="0"/>
          <w:numId w:val="11"/>
        </w:numPr>
      </w:pPr>
      <w:r>
        <w:t>In a</w:t>
      </w:r>
      <w:r w:rsidR="0073059B">
        <w:t xml:space="preserve"> buy and hold portfolio there are</w:t>
      </w:r>
      <w:r>
        <w:t xml:space="preserve"> arguments for both including and excluding commodities in the asset allocation. On one hand </w:t>
      </w:r>
      <w:r w:rsidR="007D1A62">
        <w:t>correlations</w:t>
      </w:r>
      <w:r>
        <w:t xml:space="preserve"> have returned to pre 2008 financial crisis levels </w:t>
      </w:r>
      <w:r w:rsidR="004B4F5F">
        <w:lastRenderedPageBreak/>
        <w:t xml:space="preserve">(have they?) </w:t>
      </w:r>
      <w:r>
        <w:t>and there is plenty of research [</w:t>
      </w:r>
      <w:r w:rsidR="004B4F5F">
        <w:t>Bhardwaj, Gorton, Rouwenhorst 2015,</w:t>
      </w:r>
      <w:r w:rsidR="0073059B">
        <w:t xml:space="preserve"> Levine, Ooi and Richardson 2016</w:t>
      </w:r>
      <w:r>
        <w:t xml:space="preserve">] </w:t>
      </w:r>
      <w:r w:rsidR="004B4F5F">
        <w:t xml:space="preserve">reporting </w:t>
      </w:r>
      <w:r>
        <w:t>commodities to have strong returns during periods of grow</w:t>
      </w:r>
      <w:r w:rsidR="0073059B">
        <w:t>th and high inflation as well as low correlation with stocks and bonds over long horizons</w:t>
      </w:r>
      <w:r w:rsidR="004B4F5F">
        <w:t>,</w:t>
      </w:r>
      <w:r w:rsidR="0073059B">
        <w:t xml:space="preserve"> </w:t>
      </w:r>
      <w:r w:rsidR="004B4F5F">
        <w:t xml:space="preserve">concluding that despite the most recent years performance </w:t>
      </w:r>
      <w:r w:rsidR="0073059B">
        <w:t>commodity fu</w:t>
      </w:r>
      <w:r w:rsidR="004B4F5F">
        <w:t>t</w:t>
      </w:r>
      <w:r w:rsidR="0073059B">
        <w:t>u</w:t>
      </w:r>
      <w:r w:rsidR="004B4F5F">
        <w:t>r</w:t>
      </w:r>
      <w:r w:rsidR="0073059B">
        <w:t xml:space="preserve">es </w:t>
      </w:r>
      <w:r w:rsidR="004B4F5F">
        <w:t xml:space="preserve">still </w:t>
      </w:r>
      <w:r w:rsidR="0073059B">
        <w:t>add diversification protection to a portfolio of assets</w:t>
      </w:r>
      <w:r>
        <w:t xml:space="preserve">. </w:t>
      </w:r>
    </w:p>
    <w:p w:rsidR="0080710D" w:rsidRDefault="009D4D64" w:rsidP="009D0BC3">
      <w:pPr>
        <w:pStyle w:val="ListParagraph"/>
        <w:numPr>
          <w:ilvl w:val="0"/>
          <w:numId w:val="11"/>
        </w:numPr>
      </w:pPr>
      <w:r>
        <w:t>On the other h</w:t>
      </w:r>
      <w:r w:rsidR="007D1A62">
        <w:t xml:space="preserve">and, </w:t>
      </w:r>
      <w:r w:rsidR="0073059B">
        <w:t xml:space="preserve">due to </w:t>
      </w:r>
      <w:r w:rsidR="007D1A62">
        <w:t>fin</w:t>
      </w:r>
      <w:r w:rsidR="0073059B">
        <w:t>ancialisation increasing correlations between</w:t>
      </w:r>
      <w:r w:rsidR="0080710D" w:rsidRPr="0080710D">
        <w:t xml:space="preserve"> </w:t>
      </w:r>
      <w:r w:rsidR="0080710D">
        <w:t>commodities</w:t>
      </w:r>
      <w:r w:rsidR="0080710D">
        <w:t xml:space="preserve"> and equities </w:t>
      </w:r>
      <w:r w:rsidR="0073059B">
        <w:t xml:space="preserve">and </w:t>
      </w:r>
      <w:r w:rsidR="0080710D">
        <w:t>likely removing the diversification</w:t>
      </w:r>
      <w:r w:rsidR="0073059B">
        <w:t xml:space="preserve"> protection for a portfolio with stocks and bonds during a financial crisis, many [Zaremba 2015, Lombardi and Ravazzolo 2013] have argued that the </w:t>
      </w:r>
      <w:r w:rsidR="0080710D">
        <w:t xml:space="preserve">diversification </w:t>
      </w:r>
      <w:r w:rsidR="0073059B">
        <w:t>benefits of commodity may not be valid anymore.</w:t>
      </w:r>
      <w:r w:rsidR="0080710D">
        <w:t xml:space="preserve"> Antonacci (2017) also argues that due to the nature of commodity markets changing from financialisation, the papers using data before this period succumb to aggregation bias and will have less forecasting power for the period following financialisation. </w:t>
      </w:r>
    </w:p>
    <w:p w:rsidR="0080710D" w:rsidRDefault="0080710D" w:rsidP="009D0BC3">
      <w:pPr>
        <w:pStyle w:val="ListParagraph"/>
        <w:numPr>
          <w:ilvl w:val="0"/>
          <w:numId w:val="11"/>
        </w:numPr>
      </w:pPr>
    </w:p>
    <w:p w:rsidR="007D1A62" w:rsidRDefault="007D1A62" w:rsidP="0073059B">
      <w:pPr>
        <w:pStyle w:val="ListParagraph"/>
        <w:numPr>
          <w:ilvl w:val="0"/>
          <w:numId w:val="11"/>
        </w:numPr>
      </w:pPr>
      <w:r>
        <w:t>With the timing model</w:t>
      </w:r>
    </w:p>
    <w:p w:rsidR="0073059B" w:rsidRDefault="0073059B" w:rsidP="004713AD">
      <w:pPr>
        <w:pStyle w:val="ListParagraph"/>
        <w:numPr>
          <w:ilvl w:val="0"/>
          <w:numId w:val="11"/>
        </w:numPr>
      </w:pPr>
      <w:r>
        <w:t>Does the timing model mitigate the nega</w:t>
      </w:r>
      <w:r w:rsidR="004B4F5F">
        <w:t>tive impact of financialisation?</w:t>
      </w:r>
    </w:p>
    <w:p w:rsidR="004713AD" w:rsidRDefault="004713AD" w:rsidP="009D4D64"/>
    <w:p w:rsidR="00B318CA" w:rsidRDefault="00B318CA" w:rsidP="00B318CA">
      <w:pPr>
        <w:pStyle w:val="ListParagraph"/>
        <w:numPr>
          <w:ilvl w:val="0"/>
          <w:numId w:val="11"/>
        </w:numPr>
      </w:pPr>
      <w:r>
        <w:t>What</w:t>
      </w:r>
      <w:r w:rsidR="00F44038">
        <w:t>’</w:t>
      </w:r>
      <w:r>
        <w:t>s happening now correlations have fallen – what will have during the next crisis period</w:t>
      </w:r>
    </w:p>
    <w:p w:rsidR="003B6C63" w:rsidRDefault="003B6C63" w:rsidP="003B6C63">
      <w:r>
        <w:rPr>
          <w:noProof/>
          <w:lang w:eastAsia="en-AU"/>
        </w:rPr>
        <w:drawing>
          <wp:inline distT="0" distB="0" distL="0" distR="0" wp14:anchorId="40136FC9" wp14:editId="4B557D04">
            <wp:extent cx="5731510" cy="3537585"/>
            <wp:effectExtent l="0" t="0" r="254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537585"/>
                    </a:xfrm>
                    <a:prstGeom prst="rect">
                      <a:avLst/>
                    </a:prstGeom>
                  </pic:spPr>
                </pic:pic>
              </a:graphicData>
            </a:graphic>
          </wp:inline>
        </w:drawing>
      </w:r>
    </w:p>
    <w:p w:rsidR="003B6C63" w:rsidRDefault="003B6C63" w:rsidP="003B6C63">
      <w:r>
        <w:rPr>
          <w:noProof/>
          <w:lang w:eastAsia="en-AU"/>
        </w:rPr>
        <w:lastRenderedPageBreak/>
        <w:drawing>
          <wp:inline distT="0" distB="0" distL="0" distR="0" wp14:anchorId="765B022B" wp14:editId="1171E450">
            <wp:extent cx="5731510" cy="3537585"/>
            <wp:effectExtent l="0" t="0" r="254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537585"/>
                    </a:xfrm>
                    <a:prstGeom prst="rect">
                      <a:avLst/>
                    </a:prstGeom>
                  </pic:spPr>
                </pic:pic>
              </a:graphicData>
            </a:graphic>
          </wp:inline>
        </w:drawing>
      </w:r>
    </w:p>
    <w:p w:rsidR="00F44038" w:rsidRDefault="00F44038" w:rsidP="00F44038"/>
    <w:p w:rsidR="00F44038" w:rsidRDefault="003B6C63" w:rsidP="00F44038">
      <w:r>
        <w:rPr>
          <w:noProof/>
          <w:lang w:eastAsia="en-AU"/>
        </w:rPr>
        <w:drawing>
          <wp:inline distT="0" distB="0" distL="0" distR="0" wp14:anchorId="286C7CAE" wp14:editId="402467A3">
            <wp:extent cx="5731510" cy="353758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537585"/>
                    </a:xfrm>
                    <a:prstGeom prst="rect">
                      <a:avLst/>
                    </a:prstGeom>
                  </pic:spPr>
                </pic:pic>
              </a:graphicData>
            </a:graphic>
          </wp:inline>
        </w:drawing>
      </w:r>
    </w:p>
    <w:p w:rsidR="007F2E08" w:rsidRDefault="007F2E08" w:rsidP="00F44038">
      <w:r>
        <w:rPr>
          <w:noProof/>
          <w:lang w:eastAsia="en-AU"/>
        </w:rPr>
        <w:lastRenderedPageBreak/>
        <w:drawing>
          <wp:inline distT="0" distB="0" distL="0" distR="0" wp14:anchorId="1A5C1AE8" wp14:editId="583980D5">
            <wp:extent cx="5731510" cy="3537585"/>
            <wp:effectExtent l="0" t="0" r="254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537585"/>
                    </a:xfrm>
                    <a:prstGeom prst="rect">
                      <a:avLst/>
                    </a:prstGeom>
                  </pic:spPr>
                </pic:pic>
              </a:graphicData>
            </a:graphic>
          </wp:inline>
        </w:drawing>
      </w:r>
    </w:p>
    <w:p w:rsidR="007F2E08" w:rsidRDefault="007F2E08" w:rsidP="00F44038">
      <w:r>
        <w:rPr>
          <w:noProof/>
          <w:lang w:eastAsia="en-AU"/>
        </w:rPr>
        <w:drawing>
          <wp:inline distT="0" distB="0" distL="0" distR="0" wp14:anchorId="4B28B7B4" wp14:editId="3E6B6740">
            <wp:extent cx="5731510" cy="3537585"/>
            <wp:effectExtent l="0" t="0" r="254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537585"/>
                    </a:xfrm>
                    <a:prstGeom prst="rect">
                      <a:avLst/>
                    </a:prstGeom>
                  </pic:spPr>
                </pic:pic>
              </a:graphicData>
            </a:graphic>
          </wp:inline>
        </w:drawing>
      </w:r>
    </w:p>
    <w:p w:rsidR="007F2E08" w:rsidRDefault="007F2E08" w:rsidP="00F44038">
      <w:r>
        <w:rPr>
          <w:noProof/>
          <w:lang w:eastAsia="en-AU"/>
        </w:rPr>
        <w:lastRenderedPageBreak/>
        <w:drawing>
          <wp:inline distT="0" distB="0" distL="0" distR="0" wp14:anchorId="7FE36BFA" wp14:editId="7ED36146">
            <wp:extent cx="5731510" cy="3537585"/>
            <wp:effectExtent l="0" t="0" r="254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537585"/>
                    </a:xfrm>
                    <a:prstGeom prst="rect">
                      <a:avLst/>
                    </a:prstGeom>
                  </pic:spPr>
                </pic:pic>
              </a:graphicData>
            </a:graphic>
          </wp:inline>
        </w:drawing>
      </w:r>
    </w:p>
    <w:p w:rsidR="007F2E08" w:rsidRDefault="007F2E08" w:rsidP="007F2E08">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GSCI Buy and Hold TIMING</w:t>
      </w:r>
    </w:p>
    <w:p w:rsidR="007F2E08" w:rsidRDefault="007F2E08" w:rsidP="007F2E08">
      <w:pPr>
        <w:pStyle w:val="HTMLPreformatted"/>
        <w:shd w:val="clear" w:color="auto" w:fill="FFFFFF"/>
        <w:spacing w:line="225" w:lineRule="atLeast"/>
        <w:rPr>
          <w:rFonts w:ascii="Lucida Console" w:hAnsi="Lucida Console"/>
          <w:color w:val="000000"/>
        </w:rPr>
      </w:pPr>
      <w:r>
        <w:rPr>
          <w:rFonts w:ascii="Lucida Console" w:hAnsi="Lucida Console"/>
          <w:color w:val="000000"/>
        </w:rPr>
        <w:t>Return                         6.02   8.31</w:t>
      </w:r>
    </w:p>
    <w:p w:rsidR="007F2E08" w:rsidRDefault="007F2E08" w:rsidP="007F2E08">
      <w:pPr>
        <w:pStyle w:val="HTMLPreformatted"/>
        <w:shd w:val="clear" w:color="auto" w:fill="FFFFFF"/>
        <w:spacing w:line="225" w:lineRule="atLeast"/>
        <w:rPr>
          <w:rFonts w:ascii="Lucida Console" w:hAnsi="Lucida Console"/>
          <w:color w:val="000000"/>
        </w:rPr>
      </w:pPr>
      <w:r>
        <w:rPr>
          <w:rFonts w:ascii="Lucida Console" w:hAnsi="Lucida Console"/>
          <w:color w:val="000000"/>
        </w:rPr>
        <w:t>Volatility                    20.53  16.22</w:t>
      </w:r>
    </w:p>
    <w:p w:rsidR="007F2E08" w:rsidRDefault="007F2E08" w:rsidP="007F2E08">
      <w:pPr>
        <w:pStyle w:val="HTMLPreformatted"/>
        <w:shd w:val="clear" w:color="auto" w:fill="FFFFFF"/>
        <w:spacing w:line="225" w:lineRule="atLeast"/>
        <w:rPr>
          <w:rFonts w:ascii="Lucida Console" w:hAnsi="Lucida Console"/>
          <w:color w:val="000000"/>
        </w:rPr>
      </w:pPr>
      <w:r>
        <w:rPr>
          <w:rFonts w:ascii="Lucida Console" w:hAnsi="Lucida Console"/>
          <w:color w:val="000000"/>
        </w:rPr>
        <w:t>Sharpe                        -0.07   0.04</w:t>
      </w:r>
    </w:p>
    <w:p w:rsidR="007F2E08" w:rsidRDefault="007F2E08" w:rsidP="007F2E08">
      <w:pPr>
        <w:pStyle w:val="HTMLPreformatted"/>
        <w:shd w:val="clear" w:color="auto" w:fill="FFFFFF"/>
        <w:spacing w:line="225" w:lineRule="atLeast"/>
        <w:rPr>
          <w:rFonts w:ascii="Lucida Console" w:hAnsi="Lucida Console"/>
          <w:color w:val="000000"/>
        </w:rPr>
      </w:pPr>
      <w:r>
        <w:rPr>
          <w:rFonts w:ascii="Lucida Console" w:hAnsi="Lucida Console"/>
          <w:color w:val="000000"/>
        </w:rPr>
        <w:t>MaxDD                        -80.90 -53.93</w:t>
      </w:r>
    </w:p>
    <w:p w:rsidR="007F2E08" w:rsidRDefault="007F2E08" w:rsidP="007F2E08">
      <w:pPr>
        <w:pStyle w:val="HTMLPreformatted"/>
        <w:shd w:val="clear" w:color="auto" w:fill="FFFFFF"/>
        <w:spacing w:line="225" w:lineRule="atLeast"/>
        <w:rPr>
          <w:rFonts w:ascii="Lucida Console" w:hAnsi="Lucida Console"/>
          <w:color w:val="000000"/>
        </w:rPr>
      </w:pPr>
      <w:r>
        <w:rPr>
          <w:rFonts w:ascii="Lucida Console" w:hAnsi="Lucida Console"/>
          <w:color w:val="000000"/>
        </w:rPr>
        <w:t>% Positive Months              0.00   0.00</w:t>
      </w:r>
    </w:p>
    <w:p w:rsidR="007F2E08" w:rsidRDefault="007F2E08" w:rsidP="00F44038">
      <w:pPr>
        <w:rPr>
          <w:noProof/>
          <w:lang w:eastAsia="en-AU"/>
        </w:rPr>
      </w:pPr>
    </w:p>
    <w:p w:rsidR="007F2E08" w:rsidRDefault="007F2E08" w:rsidP="00F44038">
      <w:pPr>
        <w:rPr>
          <w:noProof/>
          <w:lang w:eastAsia="en-AU"/>
        </w:rPr>
      </w:pPr>
      <w:r>
        <w:rPr>
          <w:noProof/>
          <w:lang w:eastAsia="en-AU"/>
        </w:rPr>
        <w:drawing>
          <wp:inline distT="0" distB="0" distL="0" distR="0" wp14:anchorId="0516F833" wp14:editId="5D0A1DBD">
            <wp:extent cx="5731510" cy="3537585"/>
            <wp:effectExtent l="0" t="0" r="254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537585"/>
                    </a:xfrm>
                    <a:prstGeom prst="rect">
                      <a:avLst/>
                    </a:prstGeom>
                  </pic:spPr>
                </pic:pic>
              </a:graphicData>
            </a:graphic>
          </wp:inline>
        </w:drawing>
      </w:r>
      <w:r w:rsidRPr="007F2E08">
        <w:rPr>
          <w:noProof/>
          <w:lang w:eastAsia="en-AU"/>
        </w:rPr>
        <w:t xml:space="preserve"> </w:t>
      </w:r>
    </w:p>
    <w:p w:rsidR="007F2E08" w:rsidRDefault="007F2E08" w:rsidP="00F44038">
      <w:r>
        <w:rPr>
          <w:noProof/>
          <w:lang w:eastAsia="en-AU"/>
        </w:rPr>
        <w:lastRenderedPageBreak/>
        <w:drawing>
          <wp:inline distT="0" distB="0" distL="0" distR="0" wp14:anchorId="2ACB5C93" wp14:editId="2107C200">
            <wp:extent cx="5731510" cy="3537585"/>
            <wp:effectExtent l="0" t="0" r="254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537585"/>
                    </a:xfrm>
                    <a:prstGeom prst="rect">
                      <a:avLst/>
                    </a:prstGeom>
                  </pic:spPr>
                </pic:pic>
              </a:graphicData>
            </a:graphic>
          </wp:inline>
        </w:drawing>
      </w:r>
    </w:p>
    <w:p w:rsidR="007F2E08" w:rsidRDefault="007F2E08" w:rsidP="00F44038"/>
    <w:p w:rsidR="00F44038" w:rsidRDefault="007F2E08" w:rsidP="00F44038">
      <w:r>
        <w:t>2006-2016</w:t>
      </w:r>
    </w:p>
    <w:p w:rsidR="009969A5" w:rsidRDefault="009969A5" w:rsidP="00F44038"/>
    <w:p w:rsidR="009969A5" w:rsidRDefault="007F2E08" w:rsidP="00F44038">
      <w:r>
        <w:rPr>
          <w:noProof/>
          <w:lang w:eastAsia="en-AU"/>
        </w:rPr>
        <w:drawing>
          <wp:inline distT="0" distB="0" distL="0" distR="0" wp14:anchorId="728C8444" wp14:editId="69755367">
            <wp:extent cx="5731510" cy="3537585"/>
            <wp:effectExtent l="0" t="0" r="254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537585"/>
                    </a:xfrm>
                    <a:prstGeom prst="rect">
                      <a:avLst/>
                    </a:prstGeom>
                  </pic:spPr>
                </pic:pic>
              </a:graphicData>
            </a:graphic>
          </wp:inline>
        </w:drawing>
      </w:r>
    </w:p>
    <w:p w:rsidR="007F2E08" w:rsidRDefault="007F2E08" w:rsidP="00F44038"/>
    <w:p w:rsidR="007F2E08" w:rsidRDefault="007F2E08" w:rsidP="007F2E08">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GSCI Buy and Hold TIMING</w:t>
      </w:r>
    </w:p>
    <w:p w:rsidR="007F2E08" w:rsidRDefault="007F2E08" w:rsidP="007F2E08">
      <w:pPr>
        <w:pStyle w:val="HTMLPreformatted"/>
        <w:shd w:val="clear" w:color="auto" w:fill="FFFFFF"/>
        <w:spacing w:line="225" w:lineRule="atLeast"/>
        <w:rPr>
          <w:rFonts w:ascii="Lucida Console" w:hAnsi="Lucida Console"/>
          <w:color w:val="000000"/>
        </w:rPr>
      </w:pPr>
      <w:r>
        <w:rPr>
          <w:rFonts w:ascii="Lucida Console" w:hAnsi="Lucida Console"/>
          <w:color w:val="000000"/>
        </w:rPr>
        <w:t>Return                        -1.86   3.64</w:t>
      </w:r>
    </w:p>
    <w:p w:rsidR="007F2E08" w:rsidRDefault="007F2E08" w:rsidP="007F2E08">
      <w:pPr>
        <w:pStyle w:val="HTMLPreformatted"/>
        <w:shd w:val="clear" w:color="auto" w:fill="FFFFFF"/>
        <w:spacing w:line="225" w:lineRule="atLeast"/>
        <w:rPr>
          <w:rFonts w:ascii="Lucida Console" w:hAnsi="Lucida Console"/>
          <w:color w:val="000000"/>
        </w:rPr>
      </w:pPr>
      <w:r>
        <w:rPr>
          <w:rFonts w:ascii="Lucida Console" w:hAnsi="Lucida Console"/>
          <w:color w:val="000000"/>
        </w:rPr>
        <w:lastRenderedPageBreak/>
        <w:t>Volatility                    22.84  15.87</w:t>
      </w:r>
    </w:p>
    <w:p w:rsidR="007F2E08" w:rsidRDefault="007F2E08" w:rsidP="007F2E08">
      <w:pPr>
        <w:pStyle w:val="HTMLPreformatted"/>
        <w:shd w:val="clear" w:color="auto" w:fill="FFFFFF"/>
        <w:spacing w:line="225" w:lineRule="atLeast"/>
        <w:rPr>
          <w:rFonts w:ascii="Lucida Console" w:hAnsi="Lucida Console"/>
          <w:color w:val="000000"/>
        </w:rPr>
      </w:pPr>
      <w:r>
        <w:rPr>
          <w:rFonts w:ascii="Lucida Console" w:hAnsi="Lucida Console"/>
          <w:color w:val="000000"/>
        </w:rPr>
        <w:t>Sharpe                        -0.23   0.00</w:t>
      </w:r>
    </w:p>
    <w:p w:rsidR="007F2E08" w:rsidRDefault="007F2E08" w:rsidP="007F2E08">
      <w:pPr>
        <w:pStyle w:val="HTMLPreformatted"/>
        <w:shd w:val="clear" w:color="auto" w:fill="FFFFFF"/>
        <w:spacing w:line="225" w:lineRule="atLeast"/>
        <w:rPr>
          <w:rFonts w:ascii="Lucida Console" w:hAnsi="Lucida Console"/>
          <w:color w:val="000000"/>
        </w:rPr>
      </w:pPr>
      <w:r>
        <w:rPr>
          <w:rFonts w:ascii="Lucida Console" w:hAnsi="Lucida Console"/>
          <w:color w:val="000000"/>
        </w:rPr>
        <w:t>MaxDD                        -80.90 -53.93</w:t>
      </w:r>
    </w:p>
    <w:p w:rsidR="007F2E08" w:rsidRDefault="007F2E08" w:rsidP="007F2E08">
      <w:pPr>
        <w:pStyle w:val="HTMLPreformatted"/>
        <w:shd w:val="clear" w:color="auto" w:fill="FFFFFF"/>
        <w:spacing w:line="225" w:lineRule="atLeast"/>
        <w:rPr>
          <w:rFonts w:ascii="Lucida Console" w:hAnsi="Lucida Console"/>
          <w:color w:val="000000"/>
        </w:rPr>
      </w:pPr>
      <w:bookmarkStart w:id="25" w:name="_GoBack"/>
      <w:bookmarkEnd w:id="25"/>
      <w:r>
        <w:rPr>
          <w:rFonts w:ascii="Lucida Console" w:hAnsi="Lucida Console"/>
          <w:color w:val="000000"/>
        </w:rPr>
        <w:t>% Positive Months              0.00   0.00</w:t>
      </w:r>
    </w:p>
    <w:p w:rsidR="007F2E08" w:rsidRDefault="007F2E08" w:rsidP="00F44038"/>
    <w:p w:rsidR="007F2E08" w:rsidRDefault="007F2E08" w:rsidP="00F44038">
      <w:r>
        <w:rPr>
          <w:noProof/>
          <w:lang w:eastAsia="en-AU"/>
        </w:rPr>
        <w:drawing>
          <wp:inline distT="0" distB="0" distL="0" distR="0" wp14:anchorId="6939F8E4" wp14:editId="41824320">
            <wp:extent cx="5731510" cy="3537585"/>
            <wp:effectExtent l="0" t="0" r="254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537585"/>
                    </a:xfrm>
                    <a:prstGeom prst="rect">
                      <a:avLst/>
                    </a:prstGeom>
                  </pic:spPr>
                </pic:pic>
              </a:graphicData>
            </a:graphic>
          </wp:inline>
        </w:drawing>
      </w:r>
    </w:p>
    <w:p w:rsidR="009969A5" w:rsidRDefault="009969A5" w:rsidP="00F44038"/>
    <w:p w:rsidR="007F2E08" w:rsidRDefault="007F2E08" w:rsidP="00F44038">
      <w:r>
        <w:rPr>
          <w:noProof/>
          <w:lang w:eastAsia="en-AU"/>
        </w:rPr>
        <w:drawing>
          <wp:inline distT="0" distB="0" distL="0" distR="0" wp14:anchorId="1909E5F2" wp14:editId="3EF364C8">
            <wp:extent cx="5731510" cy="3537585"/>
            <wp:effectExtent l="0" t="0" r="254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537585"/>
                    </a:xfrm>
                    <a:prstGeom prst="rect">
                      <a:avLst/>
                    </a:prstGeom>
                  </pic:spPr>
                </pic:pic>
              </a:graphicData>
            </a:graphic>
          </wp:inline>
        </w:drawing>
      </w:r>
    </w:p>
    <w:p w:rsidR="009969A5" w:rsidRDefault="009969A5" w:rsidP="00F44038"/>
    <w:p w:rsidR="009969A5" w:rsidRDefault="009969A5" w:rsidP="00F44038"/>
    <w:p w:rsidR="009969A5" w:rsidRDefault="009969A5" w:rsidP="00F44038"/>
    <w:p w:rsidR="009969A5" w:rsidRDefault="009969A5" w:rsidP="00F44038"/>
    <w:p w:rsidR="009969A5" w:rsidRDefault="009969A5" w:rsidP="00F44038"/>
    <w:p w:rsidR="009969A5" w:rsidRDefault="009969A5" w:rsidP="00F44038"/>
    <w:p w:rsidR="009969A5" w:rsidRDefault="009969A5" w:rsidP="00F44038"/>
    <w:p w:rsidR="009969A5" w:rsidRDefault="009969A5" w:rsidP="00F44038"/>
    <w:p w:rsidR="009969A5" w:rsidRDefault="009969A5" w:rsidP="00F44038"/>
    <w:p w:rsidR="009969A5" w:rsidRDefault="009969A5" w:rsidP="00F44038"/>
    <w:p w:rsidR="00F44038" w:rsidRDefault="00F44038" w:rsidP="00F44038">
      <w:r>
        <w:t xml:space="preserve">Recent research has called for commodities to be dropped from a traditional asset allocation as they have performed poorly… Fabers model shows </w:t>
      </w:r>
    </w:p>
    <w:p w:rsidR="00F44038" w:rsidRDefault="00F44038" w:rsidP="00F44038">
      <w:r>
        <w:t>• With hindsight, the buy and hold portfolio would have clearly been better without an allocation to commodities. How would the timing strategy do? Do a quick test from 2000?-2016 with and without commodities.</w:t>
      </w:r>
    </w:p>
    <w:p w:rsidR="00F44038" w:rsidRDefault="00F44038" w:rsidP="00F44038">
      <w:r>
        <w:t>• In addition multiple research (Silvennoinen and Thorp 2009, Cheung and Miu 2010, Bhardwaj, Gorton, and Rouwenhorst 2014) has shown increased long only exposure in commodities futures since 2004 that has led to the financialisation of commodities. Financialisation results in the increasing correlations between commodities and other asset classes [create my own chart] especially during periods of distress as price drivers relate to the risk appetite and macro views of investors rather than individual. They conclude that commodities may no longer provide diversifying protection in times of financial distress such as the the GFC equity crash of 2008.</w:t>
      </w:r>
    </w:p>
    <w:p w:rsidR="00F44038" w:rsidRDefault="00F44038" w:rsidP="00F44038">
      <w:r>
        <w:t>• Ultimately conclude by saying it’s impossible to predict the future, comment on aggregation bias – are we in a new period or is this just a cycle - and then show how market timing strategy does not care -  it’s out of the market when performance is not there. Fat tails/right skew distribution… Commodities show great returns in different regimes (high inflation) need to keep…c</w:t>
      </w:r>
    </w:p>
    <w:p w:rsidR="00F44038" w:rsidRDefault="00F44038" w:rsidP="00F44038"/>
    <w:p w:rsidR="008C7798" w:rsidRPr="00B318CA" w:rsidRDefault="008C7798" w:rsidP="00B318CA">
      <w:pPr>
        <w:rPr>
          <w:rFonts w:asciiTheme="majorHAnsi" w:eastAsiaTheme="majorEastAsia" w:hAnsiTheme="majorHAnsi" w:cstheme="majorBidi"/>
          <w:color w:val="2F5496" w:themeColor="accent1" w:themeShade="BF"/>
          <w:sz w:val="32"/>
          <w:szCs w:val="32"/>
        </w:rPr>
      </w:pPr>
      <w:bookmarkStart w:id="26" w:name="_Toc475478026"/>
    </w:p>
    <w:p w:rsidR="00554DB0" w:rsidRPr="00554DB0" w:rsidRDefault="00554DB0" w:rsidP="00554DB0">
      <w:pPr>
        <w:pStyle w:val="Heading1"/>
      </w:pPr>
      <w:r>
        <w:t>Will the model work with rising interest rates?</w:t>
      </w:r>
      <w:bookmarkEnd w:id="26"/>
    </w:p>
    <w:p w:rsidR="009F2229" w:rsidRDefault="00490943" w:rsidP="00490943">
      <w:pPr>
        <w:pStyle w:val="Heading1"/>
      </w:pPr>
      <w:bookmarkStart w:id="27" w:name="_Toc475478027"/>
      <w:r>
        <w:t>Ideas and tests to improve Fabers approach</w:t>
      </w:r>
      <w:bookmarkEnd w:id="27"/>
    </w:p>
    <w:p w:rsidR="00F9520F" w:rsidRDefault="00F9520F" w:rsidP="00F9520F">
      <w:pPr>
        <w:pStyle w:val="ListParagraph"/>
        <w:numPr>
          <w:ilvl w:val="0"/>
          <w:numId w:val="1"/>
        </w:numPr>
      </w:pPr>
      <w:r>
        <w:t>Using EMA</w:t>
      </w:r>
    </w:p>
    <w:p w:rsidR="00F9520F" w:rsidRDefault="00F9520F" w:rsidP="00F9520F">
      <w:pPr>
        <w:pStyle w:val="ListParagraph"/>
        <w:numPr>
          <w:ilvl w:val="0"/>
          <w:numId w:val="1"/>
        </w:numPr>
      </w:pPr>
      <w:r>
        <w:t>Using vol filter</w:t>
      </w:r>
    </w:p>
    <w:p w:rsidR="00F9520F" w:rsidRDefault="00F9520F" w:rsidP="00F9520F">
      <w:pPr>
        <w:pStyle w:val="ListParagraph"/>
        <w:numPr>
          <w:ilvl w:val="0"/>
          <w:numId w:val="1"/>
        </w:numPr>
      </w:pPr>
      <w:r>
        <w:t>Long and short</w:t>
      </w:r>
    </w:p>
    <w:p w:rsidR="00F9520F" w:rsidRDefault="00F9520F" w:rsidP="00F9520F">
      <w:pPr>
        <w:pStyle w:val="ListParagraph"/>
        <w:numPr>
          <w:ilvl w:val="0"/>
          <w:numId w:val="1"/>
        </w:numPr>
      </w:pPr>
      <w:r>
        <w:t>Overlaying a mean reverting</w:t>
      </w:r>
    </w:p>
    <w:p w:rsidR="00F9520F" w:rsidRPr="00F9520F" w:rsidRDefault="00F9520F" w:rsidP="00F9520F">
      <w:pPr>
        <w:pStyle w:val="ListParagraph"/>
        <w:numPr>
          <w:ilvl w:val="0"/>
          <w:numId w:val="1"/>
        </w:numPr>
      </w:pPr>
      <w:r>
        <w:t>Pyramid in / out approach</w:t>
      </w:r>
    </w:p>
    <w:p w:rsidR="003370E0" w:rsidRDefault="00213D2E" w:rsidP="00AE76CF">
      <w:pPr>
        <w:pStyle w:val="Heading1"/>
      </w:pPr>
      <w:r>
        <w:t xml:space="preserve"> </w:t>
      </w:r>
      <w:bookmarkStart w:id="28" w:name="_Toc475478028"/>
      <w:r w:rsidR="00AE76CF">
        <w:t>Appendix – Using R and R code</w:t>
      </w:r>
      <w:bookmarkEnd w:id="28"/>
    </w:p>
    <w:p w:rsidR="008C7798" w:rsidRDefault="008C7798" w:rsidP="0085446E"/>
    <w:p w:rsidR="008C7798" w:rsidRDefault="008C7798" w:rsidP="0085446E">
      <w:r>
        <w:lastRenderedPageBreak/>
        <w:t>Write about experience learning R</w:t>
      </w:r>
    </w:p>
    <w:p w:rsidR="008C7798" w:rsidRDefault="008C7798" w:rsidP="0085446E"/>
    <w:p w:rsidR="008C7798" w:rsidRDefault="008C7798" w:rsidP="0085446E">
      <w:r>
        <w:t>Packages used</w:t>
      </w:r>
    </w:p>
    <w:p w:rsidR="0085446E" w:rsidRDefault="008E11B7" w:rsidP="0085446E">
      <w:r>
        <w:t>Notes from R code to add above</w:t>
      </w:r>
      <w:r w:rsidR="00697840">
        <w:t xml:space="preserve"> / or delete</w:t>
      </w:r>
      <w:r>
        <w:t>:</w:t>
      </w:r>
    </w:p>
    <w:p w:rsidR="0009700C" w:rsidRDefault="0009700C" w:rsidP="0009700C"/>
    <w:p w:rsidR="0009700C" w:rsidRDefault="0009700C" w:rsidP="0009700C">
      <w:r>
        <w:t>#### System Rules</w:t>
      </w:r>
    </w:p>
    <w:p w:rsidR="0009700C" w:rsidRDefault="0009700C" w:rsidP="0009700C"/>
    <w:p w:rsidR="0009700C" w:rsidRDefault="0009700C" w:rsidP="0009700C">
      <w:r>
        <w:t>* Buy when monthly price &gt; 10m SMA</w:t>
      </w:r>
    </w:p>
    <w:p w:rsidR="0009700C" w:rsidRDefault="0009700C" w:rsidP="0009700C">
      <w:r>
        <w:t>* Sell and move to cash when monthly price &lt; 10m SMA</w:t>
      </w:r>
    </w:p>
    <w:p w:rsidR="0009700C" w:rsidRDefault="0009700C" w:rsidP="0009700C"/>
    <w:p w:rsidR="0009700C" w:rsidRDefault="0009700C" w:rsidP="0009700C">
      <w:r>
        <w:t>Notes:</w:t>
      </w:r>
    </w:p>
    <w:p w:rsidR="0009700C" w:rsidRDefault="0009700C" w:rsidP="0009700C"/>
    <w:p w:rsidR="0009700C" w:rsidRDefault="0009700C" w:rsidP="0009700C">
      <w:r>
        <w:t>* All entry and exit prices are on day of the signal at the close</w:t>
      </w:r>
    </w:p>
    <w:p w:rsidR="0009700C" w:rsidRDefault="0009700C" w:rsidP="0009700C">
      <w:r>
        <w:t>** means intray price fluctuations are ignored</w:t>
      </w:r>
    </w:p>
    <w:p w:rsidR="0009700C" w:rsidRDefault="0009700C" w:rsidP="0009700C">
      <w:r>
        <w:t>** also should look at trading the next day/week or month?</w:t>
      </w:r>
    </w:p>
    <w:p w:rsidR="0009700C" w:rsidRDefault="0009700C" w:rsidP="0009700C">
      <w:r>
        <w:t>* no taxes commissions or slippages</w:t>
      </w:r>
    </w:p>
    <w:p w:rsidR="0009700C" w:rsidRDefault="0009700C" w:rsidP="0009700C"/>
    <w:p w:rsidR="0009700C" w:rsidRDefault="0009700C" w:rsidP="0009700C">
      <w:r>
        <w:t>####S&amp;P 500 from 1973 - 2016</w:t>
      </w:r>
    </w:p>
    <w:p w:rsidR="0009700C" w:rsidRDefault="0009700C" w:rsidP="0009700C"/>
    <w:p w:rsidR="008E11B7" w:rsidRDefault="0009700C" w:rsidP="0009700C">
      <w:r>
        <w:t>To demostrate the logic and characteristics of the timing system, Faber tests the S&amp;P back to 1901. As i can't get data i will use the INDU (dow jones) as a substitute for now. Note not total returns. Now using shillers data...</w:t>
      </w:r>
    </w:p>
    <w:p w:rsidR="008E11B7" w:rsidRDefault="008E11B7" w:rsidP="0085446E"/>
    <w:p w:rsidR="0085446E" w:rsidRDefault="0085446E" w:rsidP="0085446E">
      <w:pPr>
        <w:pStyle w:val="Heading1"/>
      </w:pPr>
      <w:bookmarkStart w:id="29" w:name="_Toc475478029"/>
      <w:r>
        <w:t>References</w:t>
      </w:r>
      <w:bookmarkEnd w:id="29"/>
    </w:p>
    <w:p w:rsidR="0085446E" w:rsidRDefault="0085446E" w:rsidP="0085446E">
      <w:r>
        <w:t>Inker, B., (2020). “The Hidden Risks of Risk Parity Portfolios”, GMO White Paper</w:t>
      </w:r>
    </w:p>
    <w:p w:rsidR="0085446E" w:rsidRDefault="0085446E" w:rsidP="0085446E">
      <w:r w:rsidRPr="0085446E">
        <w:t xml:space="preserve">Faber, Meb, A Quantitative Approach to Tactical Asset Allocation (February 1, 2013). The Journal of Wealth Management, Spring 2007 . Available at SSRN: </w:t>
      </w:r>
      <w:hyperlink r:id="rId29" w:history="1">
        <w:r w:rsidR="008B600E" w:rsidRPr="00A3555D">
          <w:rPr>
            <w:rStyle w:val="Hyperlink"/>
          </w:rPr>
          <w:t>https://ssrn.com/abstract=962461</w:t>
        </w:r>
      </w:hyperlink>
    </w:p>
    <w:p w:rsidR="008B600E" w:rsidRDefault="008B600E" w:rsidP="0085446E">
      <w:r>
        <w:t>Faber, M., (2007). “A Quantitative Approach to Tactical Asset Allocation”, Journal of Investing, 16, 69-79.</w:t>
      </w:r>
    </w:p>
    <w:p w:rsidR="008B600E" w:rsidRDefault="008B600E" w:rsidP="0085446E"/>
    <w:p w:rsidR="008B600E" w:rsidRDefault="008B600E" w:rsidP="0085446E">
      <w:r>
        <w:t>Ilmanen A., (2011). Expected Returns.John Wiley &amp; Sons</w:t>
      </w:r>
    </w:p>
    <w:p w:rsidR="00D31166" w:rsidRPr="0085446E" w:rsidRDefault="00D31166" w:rsidP="0085446E">
      <w:r>
        <w:t>Friesen, G., Weller, P. and L. Dunham, (2009), “Price trends and patterns in technical analysis: A theoretical and empirical examination”, Journal of Banking &amp; Finance, 33, 1089- 1100.</w:t>
      </w:r>
    </w:p>
    <w:p w:rsidR="0085446E" w:rsidRPr="0085446E" w:rsidRDefault="00FA540B" w:rsidP="0085446E">
      <w:r w:rsidRPr="00FA540B">
        <w:lastRenderedPageBreak/>
        <w:t>Clare, Andrew and Seaton, James and Smith, Peter N. and Thomas, Steve, The Trend is Our Friend: Risk Parity, Momentum and Trend Following in Global Asset Allocation (July 31st, 2015). Available at SSRN: https://ssrn.com/abstract=2126478 or http://dx.doi.org/10.2139/ssrn.2126478</w:t>
      </w:r>
    </w:p>
    <w:sectPr w:rsidR="0085446E" w:rsidRPr="0085446E" w:rsidSect="0032524B">
      <w:footerReference w:type="default" r:id="rId3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4AF1" w:rsidRDefault="00404AF1" w:rsidP="0032524B">
      <w:pPr>
        <w:spacing w:after="0" w:line="240" w:lineRule="auto"/>
      </w:pPr>
      <w:r>
        <w:separator/>
      </w:r>
    </w:p>
  </w:endnote>
  <w:endnote w:type="continuationSeparator" w:id="0">
    <w:p w:rsidR="00404AF1" w:rsidRDefault="00404AF1" w:rsidP="00325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9261396"/>
      <w:docPartObj>
        <w:docPartGallery w:val="Page Numbers (Bottom of Page)"/>
        <w:docPartUnique/>
      </w:docPartObj>
    </w:sdtPr>
    <w:sdtEndPr>
      <w:rPr>
        <w:noProof/>
      </w:rPr>
    </w:sdtEndPr>
    <w:sdtContent>
      <w:p w:rsidR="0073059B" w:rsidRDefault="0073059B">
        <w:pPr>
          <w:pStyle w:val="Footer"/>
          <w:jc w:val="center"/>
        </w:pPr>
        <w:r>
          <w:fldChar w:fldCharType="begin"/>
        </w:r>
        <w:r>
          <w:instrText xml:space="preserve"> PAGE   \* MERGEFORMAT </w:instrText>
        </w:r>
        <w:r>
          <w:fldChar w:fldCharType="separate"/>
        </w:r>
        <w:r w:rsidR="007F2E08">
          <w:rPr>
            <w:noProof/>
          </w:rPr>
          <w:t>26</w:t>
        </w:r>
        <w:r>
          <w:rPr>
            <w:noProof/>
          </w:rPr>
          <w:fldChar w:fldCharType="end"/>
        </w:r>
      </w:p>
    </w:sdtContent>
  </w:sdt>
  <w:p w:rsidR="0073059B" w:rsidRDefault="007305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4AF1" w:rsidRDefault="00404AF1" w:rsidP="0032524B">
      <w:pPr>
        <w:spacing w:after="0" w:line="240" w:lineRule="auto"/>
      </w:pPr>
      <w:r>
        <w:separator/>
      </w:r>
    </w:p>
  </w:footnote>
  <w:footnote w:type="continuationSeparator" w:id="0">
    <w:p w:rsidR="00404AF1" w:rsidRDefault="00404AF1" w:rsidP="003252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E7BE4"/>
    <w:multiLevelType w:val="hybridMultilevel"/>
    <w:tmpl w:val="626E8CC4"/>
    <w:lvl w:ilvl="0" w:tplc="8CE6DAD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76655F1"/>
    <w:multiLevelType w:val="hybridMultilevel"/>
    <w:tmpl w:val="E6AE5C1A"/>
    <w:lvl w:ilvl="0" w:tplc="8CE6DAD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8C62489"/>
    <w:multiLevelType w:val="hybridMultilevel"/>
    <w:tmpl w:val="956CEFB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1D8A703A"/>
    <w:multiLevelType w:val="hybridMultilevel"/>
    <w:tmpl w:val="518E356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3C5A7748"/>
    <w:multiLevelType w:val="hybridMultilevel"/>
    <w:tmpl w:val="9F842C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EFA35F3"/>
    <w:multiLevelType w:val="hybridMultilevel"/>
    <w:tmpl w:val="CEEA969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36F39FC"/>
    <w:multiLevelType w:val="hybridMultilevel"/>
    <w:tmpl w:val="65840B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9DD580C"/>
    <w:multiLevelType w:val="hybridMultilevel"/>
    <w:tmpl w:val="F7ECB4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D63255D"/>
    <w:multiLevelType w:val="hybridMultilevel"/>
    <w:tmpl w:val="1C3EC8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862480D"/>
    <w:multiLevelType w:val="hybridMultilevel"/>
    <w:tmpl w:val="AD44AB7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7D45A60"/>
    <w:multiLevelType w:val="hybridMultilevel"/>
    <w:tmpl w:val="A80A0C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8"/>
  </w:num>
  <w:num w:numId="5">
    <w:abstractNumId w:val="7"/>
  </w:num>
  <w:num w:numId="6">
    <w:abstractNumId w:val="9"/>
  </w:num>
  <w:num w:numId="7">
    <w:abstractNumId w:val="3"/>
  </w:num>
  <w:num w:numId="8">
    <w:abstractNumId w:val="10"/>
  </w:num>
  <w:num w:numId="9">
    <w:abstractNumId w:val="6"/>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051"/>
    <w:rsid w:val="00024282"/>
    <w:rsid w:val="00024D5E"/>
    <w:rsid w:val="00027946"/>
    <w:rsid w:val="0006019A"/>
    <w:rsid w:val="0009700C"/>
    <w:rsid w:val="000A072F"/>
    <w:rsid w:val="000C5614"/>
    <w:rsid w:val="000D7935"/>
    <w:rsid w:val="00100EFD"/>
    <w:rsid w:val="00111F6A"/>
    <w:rsid w:val="00127827"/>
    <w:rsid w:val="00146249"/>
    <w:rsid w:val="001579FA"/>
    <w:rsid w:val="00180072"/>
    <w:rsid w:val="00195FA5"/>
    <w:rsid w:val="001A5463"/>
    <w:rsid w:val="001D395F"/>
    <w:rsid w:val="001D4B36"/>
    <w:rsid w:val="001F431D"/>
    <w:rsid w:val="00204D69"/>
    <w:rsid w:val="00213D2E"/>
    <w:rsid w:val="00216B37"/>
    <w:rsid w:val="00243FFA"/>
    <w:rsid w:val="00265C86"/>
    <w:rsid w:val="002E1D83"/>
    <w:rsid w:val="00307611"/>
    <w:rsid w:val="0032524B"/>
    <w:rsid w:val="003370E0"/>
    <w:rsid w:val="0034549A"/>
    <w:rsid w:val="003B6C63"/>
    <w:rsid w:val="003C1858"/>
    <w:rsid w:val="003C330E"/>
    <w:rsid w:val="003E2D4C"/>
    <w:rsid w:val="003E2D5A"/>
    <w:rsid w:val="003F23CE"/>
    <w:rsid w:val="00404AF1"/>
    <w:rsid w:val="0045569B"/>
    <w:rsid w:val="004678D5"/>
    <w:rsid w:val="004713AD"/>
    <w:rsid w:val="00490943"/>
    <w:rsid w:val="004A5810"/>
    <w:rsid w:val="004B4F5F"/>
    <w:rsid w:val="004D04CE"/>
    <w:rsid w:val="004D72FC"/>
    <w:rsid w:val="0052197D"/>
    <w:rsid w:val="00530C30"/>
    <w:rsid w:val="00534BA0"/>
    <w:rsid w:val="00554DB0"/>
    <w:rsid w:val="005616D1"/>
    <w:rsid w:val="0058101D"/>
    <w:rsid w:val="005842BD"/>
    <w:rsid w:val="005A17BF"/>
    <w:rsid w:val="005B317A"/>
    <w:rsid w:val="00600E67"/>
    <w:rsid w:val="00604CA9"/>
    <w:rsid w:val="006163BE"/>
    <w:rsid w:val="00635944"/>
    <w:rsid w:val="006726CE"/>
    <w:rsid w:val="00697840"/>
    <w:rsid w:val="006A16CD"/>
    <w:rsid w:val="006A3883"/>
    <w:rsid w:val="006B62CB"/>
    <w:rsid w:val="0073059B"/>
    <w:rsid w:val="0073615D"/>
    <w:rsid w:val="007A0802"/>
    <w:rsid w:val="007B058D"/>
    <w:rsid w:val="007B65A3"/>
    <w:rsid w:val="007C0DFC"/>
    <w:rsid w:val="007D1A62"/>
    <w:rsid w:val="007F2E08"/>
    <w:rsid w:val="0080710D"/>
    <w:rsid w:val="0085446E"/>
    <w:rsid w:val="008B600E"/>
    <w:rsid w:val="008C7798"/>
    <w:rsid w:val="008E11B7"/>
    <w:rsid w:val="008F097B"/>
    <w:rsid w:val="008F3E97"/>
    <w:rsid w:val="00960353"/>
    <w:rsid w:val="00993A8D"/>
    <w:rsid w:val="009969A5"/>
    <w:rsid w:val="009B7008"/>
    <w:rsid w:val="009C3F7C"/>
    <w:rsid w:val="009D4D64"/>
    <w:rsid w:val="009E1BB2"/>
    <w:rsid w:val="009E6D6E"/>
    <w:rsid w:val="009F195B"/>
    <w:rsid w:val="009F2229"/>
    <w:rsid w:val="00A75F72"/>
    <w:rsid w:val="00AC5091"/>
    <w:rsid w:val="00AE76CF"/>
    <w:rsid w:val="00B13E84"/>
    <w:rsid w:val="00B318CA"/>
    <w:rsid w:val="00B520A8"/>
    <w:rsid w:val="00BB53FB"/>
    <w:rsid w:val="00BC0897"/>
    <w:rsid w:val="00BF7653"/>
    <w:rsid w:val="00C60EE6"/>
    <w:rsid w:val="00C753BC"/>
    <w:rsid w:val="00CB63A2"/>
    <w:rsid w:val="00CD0E9F"/>
    <w:rsid w:val="00CD35BD"/>
    <w:rsid w:val="00CF1311"/>
    <w:rsid w:val="00D31166"/>
    <w:rsid w:val="00D4155F"/>
    <w:rsid w:val="00D4185D"/>
    <w:rsid w:val="00D43B31"/>
    <w:rsid w:val="00D70BF4"/>
    <w:rsid w:val="00DE7CA6"/>
    <w:rsid w:val="00DF6E5E"/>
    <w:rsid w:val="00E35E6C"/>
    <w:rsid w:val="00E35EBC"/>
    <w:rsid w:val="00E400E1"/>
    <w:rsid w:val="00E47429"/>
    <w:rsid w:val="00E54064"/>
    <w:rsid w:val="00E87051"/>
    <w:rsid w:val="00EA78E7"/>
    <w:rsid w:val="00ED2639"/>
    <w:rsid w:val="00F00FE1"/>
    <w:rsid w:val="00F02EC8"/>
    <w:rsid w:val="00F307E1"/>
    <w:rsid w:val="00F44038"/>
    <w:rsid w:val="00F60858"/>
    <w:rsid w:val="00F828BF"/>
    <w:rsid w:val="00F9520F"/>
    <w:rsid w:val="00FA54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A509A"/>
  <w15:chartTrackingRefBased/>
  <w15:docId w15:val="{274FD70B-678E-44B0-BC5F-DBCEEA009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2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52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01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35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5B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524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2524B"/>
    <w:pPr>
      <w:outlineLvl w:val="9"/>
    </w:pPr>
    <w:rPr>
      <w:lang w:val="en-US"/>
    </w:rPr>
  </w:style>
  <w:style w:type="paragraph" w:styleId="TOC1">
    <w:name w:val="toc 1"/>
    <w:basedOn w:val="Normal"/>
    <w:next w:val="Normal"/>
    <w:autoRedefine/>
    <w:uiPriority w:val="39"/>
    <w:unhideWhenUsed/>
    <w:rsid w:val="0032524B"/>
    <w:pPr>
      <w:spacing w:after="100"/>
    </w:pPr>
  </w:style>
  <w:style w:type="character" w:styleId="Hyperlink">
    <w:name w:val="Hyperlink"/>
    <w:basedOn w:val="DefaultParagraphFont"/>
    <w:uiPriority w:val="99"/>
    <w:unhideWhenUsed/>
    <w:rsid w:val="0032524B"/>
    <w:rPr>
      <w:color w:val="0563C1" w:themeColor="hyperlink"/>
      <w:u w:val="single"/>
    </w:rPr>
  </w:style>
  <w:style w:type="character" w:customStyle="1" w:styleId="Heading2Char">
    <w:name w:val="Heading 2 Char"/>
    <w:basedOn w:val="DefaultParagraphFont"/>
    <w:link w:val="Heading2"/>
    <w:uiPriority w:val="9"/>
    <w:rsid w:val="0032524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2524B"/>
    <w:pPr>
      <w:spacing w:after="100"/>
      <w:ind w:left="220"/>
    </w:pPr>
  </w:style>
  <w:style w:type="paragraph" w:styleId="Header">
    <w:name w:val="header"/>
    <w:basedOn w:val="Normal"/>
    <w:link w:val="HeaderChar"/>
    <w:uiPriority w:val="99"/>
    <w:unhideWhenUsed/>
    <w:rsid w:val="003252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24B"/>
  </w:style>
  <w:style w:type="paragraph" w:styleId="Footer">
    <w:name w:val="footer"/>
    <w:basedOn w:val="Normal"/>
    <w:link w:val="FooterChar"/>
    <w:uiPriority w:val="99"/>
    <w:unhideWhenUsed/>
    <w:rsid w:val="003252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24B"/>
  </w:style>
  <w:style w:type="paragraph" w:styleId="ListParagraph">
    <w:name w:val="List Paragraph"/>
    <w:basedOn w:val="Normal"/>
    <w:uiPriority w:val="34"/>
    <w:qFormat/>
    <w:rsid w:val="00AE76CF"/>
    <w:pPr>
      <w:ind w:left="720"/>
      <w:contextualSpacing/>
    </w:pPr>
  </w:style>
  <w:style w:type="character" w:customStyle="1" w:styleId="Heading3Char">
    <w:name w:val="Heading 3 Char"/>
    <w:basedOn w:val="DefaultParagraphFont"/>
    <w:link w:val="Heading3"/>
    <w:uiPriority w:val="9"/>
    <w:rsid w:val="0006019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C3F7C"/>
    <w:pPr>
      <w:spacing w:after="100"/>
      <w:ind w:left="440"/>
    </w:pPr>
  </w:style>
  <w:style w:type="paragraph" w:styleId="HTMLPreformatted">
    <w:name w:val="HTML Preformatted"/>
    <w:basedOn w:val="Normal"/>
    <w:link w:val="HTMLPreformattedChar"/>
    <w:uiPriority w:val="99"/>
    <w:semiHidden/>
    <w:unhideWhenUsed/>
    <w:rsid w:val="00195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195FA5"/>
    <w:rPr>
      <w:rFonts w:ascii="Courier New" w:eastAsia="Times New Roman" w:hAnsi="Courier New" w:cs="Courier New"/>
      <w:sz w:val="20"/>
      <w:szCs w:val="20"/>
      <w:lang w:eastAsia="en-AU"/>
    </w:rPr>
  </w:style>
  <w:style w:type="character" w:styleId="HTMLCode">
    <w:name w:val="HTML Code"/>
    <w:basedOn w:val="DefaultParagraphFont"/>
    <w:uiPriority w:val="99"/>
    <w:semiHidden/>
    <w:unhideWhenUsed/>
    <w:rsid w:val="00243FFA"/>
    <w:rPr>
      <w:rFonts w:ascii="Courier New" w:eastAsia="Times New Roman" w:hAnsi="Courier New" w:cs="Courier New"/>
      <w:sz w:val="20"/>
      <w:szCs w:val="20"/>
    </w:rPr>
  </w:style>
  <w:style w:type="table" w:styleId="TableGrid">
    <w:name w:val="Table Grid"/>
    <w:basedOn w:val="TableNormal"/>
    <w:uiPriority w:val="39"/>
    <w:rsid w:val="00DF6E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756707">
      <w:bodyDiv w:val="1"/>
      <w:marLeft w:val="0"/>
      <w:marRight w:val="0"/>
      <w:marTop w:val="0"/>
      <w:marBottom w:val="0"/>
      <w:divBdr>
        <w:top w:val="none" w:sz="0" w:space="0" w:color="auto"/>
        <w:left w:val="none" w:sz="0" w:space="0" w:color="auto"/>
        <w:bottom w:val="none" w:sz="0" w:space="0" w:color="auto"/>
        <w:right w:val="none" w:sz="0" w:space="0" w:color="auto"/>
      </w:divBdr>
    </w:div>
    <w:div w:id="144131728">
      <w:bodyDiv w:val="1"/>
      <w:marLeft w:val="0"/>
      <w:marRight w:val="0"/>
      <w:marTop w:val="0"/>
      <w:marBottom w:val="0"/>
      <w:divBdr>
        <w:top w:val="none" w:sz="0" w:space="0" w:color="auto"/>
        <w:left w:val="none" w:sz="0" w:space="0" w:color="auto"/>
        <w:bottom w:val="none" w:sz="0" w:space="0" w:color="auto"/>
        <w:right w:val="none" w:sz="0" w:space="0" w:color="auto"/>
      </w:divBdr>
    </w:div>
    <w:div w:id="225185916">
      <w:bodyDiv w:val="1"/>
      <w:marLeft w:val="0"/>
      <w:marRight w:val="0"/>
      <w:marTop w:val="0"/>
      <w:marBottom w:val="0"/>
      <w:divBdr>
        <w:top w:val="none" w:sz="0" w:space="0" w:color="auto"/>
        <w:left w:val="none" w:sz="0" w:space="0" w:color="auto"/>
        <w:bottom w:val="none" w:sz="0" w:space="0" w:color="auto"/>
        <w:right w:val="none" w:sz="0" w:space="0" w:color="auto"/>
      </w:divBdr>
    </w:div>
    <w:div w:id="283313348">
      <w:bodyDiv w:val="1"/>
      <w:marLeft w:val="0"/>
      <w:marRight w:val="0"/>
      <w:marTop w:val="0"/>
      <w:marBottom w:val="0"/>
      <w:divBdr>
        <w:top w:val="none" w:sz="0" w:space="0" w:color="auto"/>
        <w:left w:val="none" w:sz="0" w:space="0" w:color="auto"/>
        <w:bottom w:val="none" w:sz="0" w:space="0" w:color="auto"/>
        <w:right w:val="none" w:sz="0" w:space="0" w:color="auto"/>
      </w:divBdr>
    </w:div>
    <w:div w:id="297415775">
      <w:bodyDiv w:val="1"/>
      <w:marLeft w:val="0"/>
      <w:marRight w:val="0"/>
      <w:marTop w:val="0"/>
      <w:marBottom w:val="0"/>
      <w:divBdr>
        <w:top w:val="none" w:sz="0" w:space="0" w:color="auto"/>
        <w:left w:val="none" w:sz="0" w:space="0" w:color="auto"/>
        <w:bottom w:val="none" w:sz="0" w:space="0" w:color="auto"/>
        <w:right w:val="none" w:sz="0" w:space="0" w:color="auto"/>
      </w:divBdr>
    </w:div>
    <w:div w:id="302079466">
      <w:bodyDiv w:val="1"/>
      <w:marLeft w:val="0"/>
      <w:marRight w:val="0"/>
      <w:marTop w:val="0"/>
      <w:marBottom w:val="0"/>
      <w:divBdr>
        <w:top w:val="none" w:sz="0" w:space="0" w:color="auto"/>
        <w:left w:val="none" w:sz="0" w:space="0" w:color="auto"/>
        <w:bottom w:val="none" w:sz="0" w:space="0" w:color="auto"/>
        <w:right w:val="none" w:sz="0" w:space="0" w:color="auto"/>
      </w:divBdr>
    </w:div>
    <w:div w:id="313074263">
      <w:bodyDiv w:val="1"/>
      <w:marLeft w:val="0"/>
      <w:marRight w:val="0"/>
      <w:marTop w:val="0"/>
      <w:marBottom w:val="0"/>
      <w:divBdr>
        <w:top w:val="none" w:sz="0" w:space="0" w:color="auto"/>
        <w:left w:val="none" w:sz="0" w:space="0" w:color="auto"/>
        <w:bottom w:val="none" w:sz="0" w:space="0" w:color="auto"/>
        <w:right w:val="none" w:sz="0" w:space="0" w:color="auto"/>
      </w:divBdr>
    </w:div>
    <w:div w:id="448083829">
      <w:bodyDiv w:val="1"/>
      <w:marLeft w:val="0"/>
      <w:marRight w:val="0"/>
      <w:marTop w:val="0"/>
      <w:marBottom w:val="0"/>
      <w:divBdr>
        <w:top w:val="none" w:sz="0" w:space="0" w:color="auto"/>
        <w:left w:val="none" w:sz="0" w:space="0" w:color="auto"/>
        <w:bottom w:val="none" w:sz="0" w:space="0" w:color="auto"/>
        <w:right w:val="none" w:sz="0" w:space="0" w:color="auto"/>
      </w:divBdr>
    </w:div>
    <w:div w:id="473722535">
      <w:bodyDiv w:val="1"/>
      <w:marLeft w:val="0"/>
      <w:marRight w:val="0"/>
      <w:marTop w:val="0"/>
      <w:marBottom w:val="0"/>
      <w:divBdr>
        <w:top w:val="none" w:sz="0" w:space="0" w:color="auto"/>
        <w:left w:val="none" w:sz="0" w:space="0" w:color="auto"/>
        <w:bottom w:val="none" w:sz="0" w:space="0" w:color="auto"/>
        <w:right w:val="none" w:sz="0" w:space="0" w:color="auto"/>
      </w:divBdr>
    </w:div>
    <w:div w:id="617880327">
      <w:bodyDiv w:val="1"/>
      <w:marLeft w:val="0"/>
      <w:marRight w:val="0"/>
      <w:marTop w:val="0"/>
      <w:marBottom w:val="0"/>
      <w:divBdr>
        <w:top w:val="none" w:sz="0" w:space="0" w:color="auto"/>
        <w:left w:val="none" w:sz="0" w:space="0" w:color="auto"/>
        <w:bottom w:val="none" w:sz="0" w:space="0" w:color="auto"/>
        <w:right w:val="none" w:sz="0" w:space="0" w:color="auto"/>
      </w:divBdr>
    </w:div>
    <w:div w:id="663437413">
      <w:bodyDiv w:val="1"/>
      <w:marLeft w:val="0"/>
      <w:marRight w:val="0"/>
      <w:marTop w:val="0"/>
      <w:marBottom w:val="0"/>
      <w:divBdr>
        <w:top w:val="none" w:sz="0" w:space="0" w:color="auto"/>
        <w:left w:val="none" w:sz="0" w:space="0" w:color="auto"/>
        <w:bottom w:val="none" w:sz="0" w:space="0" w:color="auto"/>
        <w:right w:val="none" w:sz="0" w:space="0" w:color="auto"/>
      </w:divBdr>
    </w:div>
    <w:div w:id="666052250">
      <w:bodyDiv w:val="1"/>
      <w:marLeft w:val="0"/>
      <w:marRight w:val="0"/>
      <w:marTop w:val="0"/>
      <w:marBottom w:val="0"/>
      <w:divBdr>
        <w:top w:val="none" w:sz="0" w:space="0" w:color="auto"/>
        <w:left w:val="none" w:sz="0" w:space="0" w:color="auto"/>
        <w:bottom w:val="none" w:sz="0" w:space="0" w:color="auto"/>
        <w:right w:val="none" w:sz="0" w:space="0" w:color="auto"/>
      </w:divBdr>
    </w:div>
    <w:div w:id="678239446">
      <w:bodyDiv w:val="1"/>
      <w:marLeft w:val="0"/>
      <w:marRight w:val="0"/>
      <w:marTop w:val="0"/>
      <w:marBottom w:val="0"/>
      <w:divBdr>
        <w:top w:val="none" w:sz="0" w:space="0" w:color="auto"/>
        <w:left w:val="none" w:sz="0" w:space="0" w:color="auto"/>
        <w:bottom w:val="none" w:sz="0" w:space="0" w:color="auto"/>
        <w:right w:val="none" w:sz="0" w:space="0" w:color="auto"/>
      </w:divBdr>
    </w:div>
    <w:div w:id="716508486">
      <w:bodyDiv w:val="1"/>
      <w:marLeft w:val="0"/>
      <w:marRight w:val="0"/>
      <w:marTop w:val="0"/>
      <w:marBottom w:val="0"/>
      <w:divBdr>
        <w:top w:val="none" w:sz="0" w:space="0" w:color="auto"/>
        <w:left w:val="none" w:sz="0" w:space="0" w:color="auto"/>
        <w:bottom w:val="none" w:sz="0" w:space="0" w:color="auto"/>
        <w:right w:val="none" w:sz="0" w:space="0" w:color="auto"/>
      </w:divBdr>
      <w:divsChild>
        <w:div w:id="2039502063">
          <w:marLeft w:val="0"/>
          <w:marRight w:val="0"/>
          <w:marTop w:val="0"/>
          <w:marBottom w:val="0"/>
          <w:divBdr>
            <w:top w:val="none" w:sz="0" w:space="0" w:color="auto"/>
            <w:left w:val="none" w:sz="0" w:space="0" w:color="auto"/>
            <w:bottom w:val="none" w:sz="0" w:space="0" w:color="auto"/>
            <w:right w:val="none" w:sz="0" w:space="0" w:color="auto"/>
          </w:divBdr>
        </w:div>
        <w:div w:id="1667397460">
          <w:marLeft w:val="0"/>
          <w:marRight w:val="0"/>
          <w:marTop w:val="0"/>
          <w:marBottom w:val="0"/>
          <w:divBdr>
            <w:top w:val="none" w:sz="0" w:space="0" w:color="auto"/>
            <w:left w:val="none" w:sz="0" w:space="0" w:color="auto"/>
            <w:bottom w:val="none" w:sz="0" w:space="0" w:color="auto"/>
            <w:right w:val="none" w:sz="0" w:space="0" w:color="auto"/>
          </w:divBdr>
        </w:div>
        <w:div w:id="112141716">
          <w:marLeft w:val="0"/>
          <w:marRight w:val="0"/>
          <w:marTop w:val="0"/>
          <w:marBottom w:val="0"/>
          <w:divBdr>
            <w:top w:val="none" w:sz="0" w:space="0" w:color="auto"/>
            <w:left w:val="none" w:sz="0" w:space="0" w:color="auto"/>
            <w:bottom w:val="none" w:sz="0" w:space="0" w:color="auto"/>
            <w:right w:val="none" w:sz="0" w:space="0" w:color="auto"/>
          </w:divBdr>
        </w:div>
        <w:div w:id="671302776">
          <w:marLeft w:val="0"/>
          <w:marRight w:val="0"/>
          <w:marTop w:val="0"/>
          <w:marBottom w:val="0"/>
          <w:divBdr>
            <w:top w:val="none" w:sz="0" w:space="0" w:color="auto"/>
            <w:left w:val="none" w:sz="0" w:space="0" w:color="auto"/>
            <w:bottom w:val="none" w:sz="0" w:space="0" w:color="auto"/>
            <w:right w:val="none" w:sz="0" w:space="0" w:color="auto"/>
          </w:divBdr>
        </w:div>
        <w:div w:id="1406807120">
          <w:marLeft w:val="0"/>
          <w:marRight w:val="0"/>
          <w:marTop w:val="0"/>
          <w:marBottom w:val="0"/>
          <w:divBdr>
            <w:top w:val="none" w:sz="0" w:space="0" w:color="auto"/>
            <w:left w:val="none" w:sz="0" w:space="0" w:color="auto"/>
            <w:bottom w:val="none" w:sz="0" w:space="0" w:color="auto"/>
            <w:right w:val="none" w:sz="0" w:space="0" w:color="auto"/>
          </w:divBdr>
        </w:div>
        <w:div w:id="324212428">
          <w:marLeft w:val="0"/>
          <w:marRight w:val="0"/>
          <w:marTop w:val="0"/>
          <w:marBottom w:val="0"/>
          <w:divBdr>
            <w:top w:val="none" w:sz="0" w:space="0" w:color="auto"/>
            <w:left w:val="none" w:sz="0" w:space="0" w:color="auto"/>
            <w:bottom w:val="none" w:sz="0" w:space="0" w:color="auto"/>
            <w:right w:val="none" w:sz="0" w:space="0" w:color="auto"/>
          </w:divBdr>
        </w:div>
        <w:div w:id="558370712">
          <w:marLeft w:val="0"/>
          <w:marRight w:val="0"/>
          <w:marTop w:val="0"/>
          <w:marBottom w:val="0"/>
          <w:divBdr>
            <w:top w:val="none" w:sz="0" w:space="0" w:color="auto"/>
            <w:left w:val="none" w:sz="0" w:space="0" w:color="auto"/>
            <w:bottom w:val="none" w:sz="0" w:space="0" w:color="auto"/>
            <w:right w:val="none" w:sz="0" w:space="0" w:color="auto"/>
          </w:divBdr>
        </w:div>
      </w:divsChild>
    </w:div>
    <w:div w:id="863053555">
      <w:bodyDiv w:val="1"/>
      <w:marLeft w:val="0"/>
      <w:marRight w:val="0"/>
      <w:marTop w:val="0"/>
      <w:marBottom w:val="0"/>
      <w:divBdr>
        <w:top w:val="none" w:sz="0" w:space="0" w:color="auto"/>
        <w:left w:val="none" w:sz="0" w:space="0" w:color="auto"/>
        <w:bottom w:val="none" w:sz="0" w:space="0" w:color="auto"/>
        <w:right w:val="none" w:sz="0" w:space="0" w:color="auto"/>
      </w:divBdr>
    </w:div>
    <w:div w:id="909384337">
      <w:bodyDiv w:val="1"/>
      <w:marLeft w:val="0"/>
      <w:marRight w:val="0"/>
      <w:marTop w:val="0"/>
      <w:marBottom w:val="0"/>
      <w:divBdr>
        <w:top w:val="none" w:sz="0" w:space="0" w:color="auto"/>
        <w:left w:val="none" w:sz="0" w:space="0" w:color="auto"/>
        <w:bottom w:val="none" w:sz="0" w:space="0" w:color="auto"/>
        <w:right w:val="none" w:sz="0" w:space="0" w:color="auto"/>
      </w:divBdr>
    </w:div>
    <w:div w:id="966088136">
      <w:bodyDiv w:val="1"/>
      <w:marLeft w:val="0"/>
      <w:marRight w:val="0"/>
      <w:marTop w:val="0"/>
      <w:marBottom w:val="0"/>
      <w:divBdr>
        <w:top w:val="none" w:sz="0" w:space="0" w:color="auto"/>
        <w:left w:val="none" w:sz="0" w:space="0" w:color="auto"/>
        <w:bottom w:val="none" w:sz="0" w:space="0" w:color="auto"/>
        <w:right w:val="none" w:sz="0" w:space="0" w:color="auto"/>
      </w:divBdr>
    </w:div>
    <w:div w:id="1067150416">
      <w:bodyDiv w:val="1"/>
      <w:marLeft w:val="0"/>
      <w:marRight w:val="0"/>
      <w:marTop w:val="0"/>
      <w:marBottom w:val="0"/>
      <w:divBdr>
        <w:top w:val="none" w:sz="0" w:space="0" w:color="auto"/>
        <w:left w:val="none" w:sz="0" w:space="0" w:color="auto"/>
        <w:bottom w:val="none" w:sz="0" w:space="0" w:color="auto"/>
        <w:right w:val="none" w:sz="0" w:space="0" w:color="auto"/>
      </w:divBdr>
    </w:div>
    <w:div w:id="1081953940">
      <w:bodyDiv w:val="1"/>
      <w:marLeft w:val="0"/>
      <w:marRight w:val="0"/>
      <w:marTop w:val="0"/>
      <w:marBottom w:val="0"/>
      <w:divBdr>
        <w:top w:val="none" w:sz="0" w:space="0" w:color="auto"/>
        <w:left w:val="none" w:sz="0" w:space="0" w:color="auto"/>
        <w:bottom w:val="none" w:sz="0" w:space="0" w:color="auto"/>
        <w:right w:val="none" w:sz="0" w:space="0" w:color="auto"/>
      </w:divBdr>
    </w:div>
    <w:div w:id="1226602057">
      <w:bodyDiv w:val="1"/>
      <w:marLeft w:val="0"/>
      <w:marRight w:val="0"/>
      <w:marTop w:val="0"/>
      <w:marBottom w:val="0"/>
      <w:divBdr>
        <w:top w:val="none" w:sz="0" w:space="0" w:color="auto"/>
        <w:left w:val="none" w:sz="0" w:space="0" w:color="auto"/>
        <w:bottom w:val="none" w:sz="0" w:space="0" w:color="auto"/>
        <w:right w:val="none" w:sz="0" w:space="0" w:color="auto"/>
      </w:divBdr>
    </w:div>
    <w:div w:id="1233157546">
      <w:bodyDiv w:val="1"/>
      <w:marLeft w:val="0"/>
      <w:marRight w:val="0"/>
      <w:marTop w:val="0"/>
      <w:marBottom w:val="0"/>
      <w:divBdr>
        <w:top w:val="none" w:sz="0" w:space="0" w:color="auto"/>
        <w:left w:val="none" w:sz="0" w:space="0" w:color="auto"/>
        <w:bottom w:val="none" w:sz="0" w:space="0" w:color="auto"/>
        <w:right w:val="none" w:sz="0" w:space="0" w:color="auto"/>
      </w:divBdr>
    </w:div>
    <w:div w:id="1280257135">
      <w:bodyDiv w:val="1"/>
      <w:marLeft w:val="0"/>
      <w:marRight w:val="0"/>
      <w:marTop w:val="0"/>
      <w:marBottom w:val="0"/>
      <w:divBdr>
        <w:top w:val="none" w:sz="0" w:space="0" w:color="auto"/>
        <w:left w:val="none" w:sz="0" w:space="0" w:color="auto"/>
        <w:bottom w:val="none" w:sz="0" w:space="0" w:color="auto"/>
        <w:right w:val="none" w:sz="0" w:space="0" w:color="auto"/>
      </w:divBdr>
    </w:div>
    <w:div w:id="1328289947">
      <w:bodyDiv w:val="1"/>
      <w:marLeft w:val="0"/>
      <w:marRight w:val="0"/>
      <w:marTop w:val="0"/>
      <w:marBottom w:val="0"/>
      <w:divBdr>
        <w:top w:val="none" w:sz="0" w:space="0" w:color="auto"/>
        <w:left w:val="none" w:sz="0" w:space="0" w:color="auto"/>
        <w:bottom w:val="none" w:sz="0" w:space="0" w:color="auto"/>
        <w:right w:val="none" w:sz="0" w:space="0" w:color="auto"/>
      </w:divBdr>
    </w:div>
    <w:div w:id="1362897875">
      <w:bodyDiv w:val="1"/>
      <w:marLeft w:val="0"/>
      <w:marRight w:val="0"/>
      <w:marTop w:val="0"/>
      <w:marBottom w:val="0"/>
      <w:divBdr>
        <w:top w:val="none" w:sz="0" w:space="0" w:color="auto"/>
        <w:left w:val="none" w:sz="0" w:space="0" w:color="auto"/>
        <w:bottom w:val="none" w:sz="0" w:space="0" w:color="auto"/>
        <w:right w:val="none" w:sz="0" w:space="0" w:color="auto"/>
      </w:divBdr>
    </w:div>
    <w:div w:id="1430613787">
      <w:bodyDiv w:val="1"/>
      <w:marLeft w:val="0"/>
      <w:marRight w:val="0"/>
      <w:marTop w:val="0"/>
      <w:marBottom w:val="0"/>
      <w:divBdr>
        <w:top w:val="none" w:sz="0" w:space="0" w:color="auto"/>
        <w:left w:val="none" w:sz="0" w:space="0" w:color="auto"/>
        <w:bottom w:val="none" w:sz="0" w:space="0" w:color="auto"/>
        <w:right w:val="none" w:sz="0" w:space="0" w:color="auto"/>
      </w:divBdr>
    </w:div>
    <w:div w:id="1459181865">
      <w:bodyDiv w:val="1"/>
      <w:marLeft w:val="0"/>
      <w:marRight w:val="0"/>
      <w:marTop w:val="0"/>
      <w:marBottom w:val="0"/>
      <w:divBdr>
        <w:top w:val="none" w:sz="0" w:space="0" w:color="auto"/>
        <w:left w:val="none" w:sz="0" w:space="0" w:color="auto"/>
        <w:bottom w:val="none" w:sz="0" w:space="0" w:color="auto"/>
        <w:right w:val="none" w:sz="0" w:space="0" w:color="auto"/>
      </w:divBdr>
    </w:div>
    <w:div w:id="1508671245">
      <w:bodyDiv w:val="1"/>
      <w:marLeft w:val="0"/>
      <w:marRight w:val="0"/>
      <w:marTop w:val="0"/>
      <w:marBottom w:val="0"/>
      <w:divBdr>
        <w:top w:val="none" w:sz="0" w:space="0" w:color="auto"/>
        <w:left w:val="none" w:sz="0" w:space="0" w:color="auto"/>
        <w:bottom w:val="none" w:sz="0" w:space="0" w:color="auto"/>
        <w:right w:val="none" w:sz="0" w:space="0" w:color="auto"/>
      </w:divBdr>
    </w:div>
    <w:div w:id="1517308589">
      <w:bodyDiv w:val="1"/>
      <w:marLeft w:val="0"/>
      <w:marRight w:val="0"/>
      <w:marTop w:val="0"/>
      <w:marBottom w:val="0"/>
      <w:divBdr>
        <w:top w:val="none" w:sz="0" w:space="0" w:color="auto"/>
        <w:left w:val="none" w:sz="0" w:space="0" w:color="auto"/>
        <w:bottom w:val="none" w:sz="0" w:space="0" w:color="auto"/>
        <w:right w:val="none" w:sz="0" w:space="0" w:color="auto"/>
      </w:divBdr>
    </w:div>
    <w:div w:id="1614283501">
      <w:bodyDiv w:val="1"/>
      <w:marLeft w:val="0"/>
      <w:marRight w:val="0"/>
      <w:marTop w:val="0"/>
      <w:marBottom w:val="0"/>
      <w:divBdr>
        <w:top w:val="none" w:sz="0" w:space="0" w:color="auto"/>
        <w:left w:val="none" w:sz="0" w:space="0" w:color="auto"/>
        <w:bottom w:val="none" w:sz="0" w:space="0" w:color="auto"/>
        <w:right w:val="none" w:sz="0" w:space="0" w:color="auto"/>
      </w:divBdr>
    </w:div>
    <w:div w:id="1651521408">
      <w:bodyDiv w:val="1"/>
      <w:marLeft w:val="0"/>
      <w:marRight w:val="0"/>
      <w:marTop w:val="0"/>
      <w:marBottom w:val="0"/>
      <w:divBdr>
        <w:top w:val="none" w:sz="0" w:space="0" w:color="auto"/>
        <w:left w:val="none" w:sz="0" w:space="0" w:color="auto"/>
        <w:bottom w:val="none" w:sz="0" w:space="0" w:color="auto"/>
        <w:right w:val="none" w:sz="0" w:space="0" w:color="auto"/>
      </w:divBdr>
    </w:div>
    <w:div w:id="1683163294">
      <w:bodyDiv w:val="1"/>
      <w:marLeft w:val="0"/>
      <w:marRight w:val="0"/>
      <w:marTop w:val="0"/>
      <w:marBottom w:val="0"/>
      <w:divBdr>
        <w:top w:val="none" w:sz="0" w:space="0" w:color="auto"/>
        <w:left w:val="none" w:sz="0" w:space="0" w:color="auto"/>
        <w:bottom w:val="none" w:sz="0" w:space="0" w:color="auto"/>
        <w:right w:val="none" w:sz="0" w:space="0" w:color="auto"/>
      </w:divBdr>
    </w:div>
    <w:div w:id="1765879896">
      <w:bodyDiv w:val="1"/>
      <w:marLeft w:val="0"/>
      <w:marRight w:val="0"/>
      <w:marTop w:val="0"/>
      <w:marBottom w:val="0"/>
      <w:divBdr>
        <w:top w:val="none" w:sz="0" w:space="0" w:color="auto"/>
        <w:left w:val="none" w:sz="0" w:space="0" w:color="auto"/>
        <w:bottom w:val="none" w:sz="0" w:space="0" w:color="auto"/>
        <w:right w:val="none" w:sz="0" w:space="0" w:color="auto"/>
      </w:divBdr>
    </w:div>
    <w:div w:id="1817604947">
      <w:bodyDiv w:val="1"/>
      <w:marLeft w:val="0"/>
      <w:marRight w:val="0"/>
      <w:marTop w:val="0"/>
      <w:marBottom w:val="0"/>
      <w:divBdr>
        <w:top w:val="none" w:sz="0" w:space="0" w:color="auto"/>
        <w:left w:val="none" w:sz="0" w:space="0" w:color="auto"/>
        <w:bottom w:val="none" w:sz="0" w:space="0" w:color="auto"/>
        <w:right w:val="none" w:sz="0" w:space="0" w:color="auto"/>
      </w:divBdr>
    </w:div>
    <w:div w:id="1907718605">
      <w:bodyDiv w:val="1"/>
      <w:marLeft w:val="0"/>
      <w:marRight w:val="0"/>
      <w:marTop w:val="0"/>
      <w:marBottom w:val="0"/>
      <w:divBdr>
        <w:top w:val="none" w:sz="0" w:space="0" w:color="auto"/>
        <w:left w:val="none" w:sz="0" w:space="0" w:color="auto"/>
        <w:bottom w:val="none" w:sz="0" w:space="0" w:color="auto"/>
        <w:right w:val="none" w:sz="0" w:space="0" w:color="auto"/>
      </w:divBdr>
    </w:div>
    <w:div w:id="2025092520">
      <w:bodyDiv w:val="1"/>
      <w:marLeft w:val="0"/>
      <w:marRight w:val="0"/>
      <w:marTop w:val="0"/>
      <w:marBottom w:val="0"/>
      <w:divBdr>
        <w:top w:val="none" w:sz="0" w:space="0" w:color="auto"/>
        <w:left w:val="none" w:sz="0" w:space="0" w:color="auto"/>
        <w:bottom w:val="none" w:sz="0" w:space="0" w:color="auto"/>
        <w:right w:val="none" w:sz="0" w:space="0" w:color="auto"/>
      </w:divBdr>
    </w:div>
    <w:div w:id="2038776875">
      <w:bodyDiv w:val="1"/>
      <w:marLeft w:val="0"/>
      <w:marRight w:val="0"/>
      <w:marTop w:val="0"/>
      <w:marBottom w:val="0"/>
      <w:divBdr>
        <w:top w:val="none" w:sz="0" w:space="0" w:color="auto"/>
        <w:left w:val="none" w:sz="0" w:space="0" w:color="auto"/>
        <w:bottom w:val="none" w:sz="0" w:space="0" w:color="auto"/>
        <w:right w:val="none" w:sz="0" w:space="0" w:color="auto"/>
      </w:divBdr>
    </w:div>
    <w:div w:id="2040427079">
      <w:bodyDiv w:val="1"/>
      <w:marLeft w:val="0"/>
      <w:marRight w:val="0"/>
      <w:marTop w:val="0"/>
      <w:marBottom w:val="0"/>
      <w:divBdr>
        <w:top w:val="none" w:sz="0" w:space="0" w:color="auto"/>
        <w:left w:val="none" w:sz="0" w:space="0" w:color="auto"/>
        <w:bottom w:val="none" w:sz="0" w:space="0" w:color="auto"/>
        <w:right w:val="none" w:sz="0" w:space="0" w:color="auto"/>
      </w:divBdr>
    </w:div>
    <w:div w:id="2045402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ssrn.com/abstract=96246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2E8B0B-3019-4A89-A489-849B38F95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12966</TotalTime>
  <Pages>29</Pages>
  <Words>4904</Words>
  <Characters>27956</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McLean</dc:creator>
  <cp:keywords/>
  <dc:description/>
  <cp:lastModifiedBy>Cameron McLean</cp:lastModifiedBy>
  <cp:revision>35</cp:revision>
  <dcterms:created xsi:type="dcterms:W3CDTF">2017-02-12T09:58:00Z</dcterms:created>
  <dcterms:modified xsi:type="dcterms:W3CDTF">2017-03-02T21:22:00Z</dcterms:modified>
</cp:coreProperties>
</file>