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B520A8">
        <w:rPr>
          <w:noProof/>
        </w:rPr>
        <w:t>February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01" w:history="1">
            <w:r w:rsidR="00024D5E" w:rsidRPr="00953B7B">
              <w:rPr>
                <w:rStyle w:val="Hyperlink"/>
                <w:noProof/>
              </w:rPr>
              <w:t>Introduction</w:t>
            </w:r>
            <w:r w:rsidR="00024D5E">
              <w:rPr>
                <w:noProof/>
                <w:webHidden/>
              </w:rPr>
              <w:tab/>
            </w:r>
            <w:r w:rsidR="00024D5E">
              <w:rPr>
                <w:noProof/>
                <w:webHidden/>
              </w:rPr>
              <w:fldChar w:fldCharType="begin"/>
            </w:r>
            <w:r w:rsidR="00024D5E">
              <w:rPr>
                <w:noProof/>
                <w:webHidden/>
              </w:rPr>
              <w:instrText xml:space="preserve"> PAGEREF _Toc475478001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02" w:history="1">
            <w:r w:rsidR="00024D5E" w:rsidRPr="00953B7B">
              <w:rPr>
                <w:rStyle w:val="Hyperlink"/>
                <w:noProof/>
              </w:rPr>
              <w:t>Literature review</w:t>
            </w:r>
            <w:r w:rsidR="00024D5E">
              <w:rPr>
                <w:noProof/>
                <w:webHidden/>
              </w:rPr>
              <w:tab/>
            </w:r>
            <w:r w:rsidR="00024D5E">
              <w:rPr>
                <w:noProof/>
                <w:webHidden/>
              </w:rPr>
              <w:fldChar w:fldCharType="begin"/>
            </w:r>
            <w:r w:rsidR="00024D5E">
              <w:rPr>
                <w:noProof/>
                <w:webHidden/>
              </w:rPr>
              <w:instrText xml:space="preserve"> PAGEREF _Toc475478002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03" w:history="1">
            <w:r w:rsidR="00024D5E" w:rsidRPr="00953B7B">
              <w:rPr>
                <w:rStyle w:val="Hyperlink"/>
                <w:noProof/>
              </w:rPr>
              <w:t>Replication of Faber’s model</w:t>
            </w:r>
            <w:r w:rsidR="00024D5E">
              <w:rPr>
                <w:noProof/>
                <w:webHidden/>
              </w:rPr>
              <w:tab/>
            </w:r>
            <w:r w:rsidR="00024D5E">
              <w:rPr>
                <w:noProof/>
                <w:webHidden/>
              </w:rPr>
              <w:fldChar w:fldCharType="begin"/>
            </w:r>
            <w:r w:rsidR="00024D5E">
              <w:rPr>
                <w:noProof/>
                <w:webHidden/>
              </w:rPr>
              <w:instrText xml:space="preserve"> PAGEREF _Toc475478003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04" w:history="1">
            <w:r w:rsidR="00024D5E" w:rsidRPr="00953B7B">
              <w:rPr>
                <w:rStyle w:val="Hyperlink"/>
                <w:noProof/>
              </w:rPr>
              <w:t>Summary of the papers</w:t>
            </w:r>
            <w:r w:rsidR="00024D5E">
              <w:rPr>
                <w:noProof/>
                <w:webHidden/>
              </w:rPr>
              <w:tab/>
            </w:r>
            <w:r w:rsidR="00024D5E">
              <w:rPr>
                <w:noProof/>
                <w:webHidden/>
              </w:rPr>
              <w:fldChar w:fldCharType="begin"/>
            </w:r>
            <w:r w:rsidR="00024D5E">
              <w:rPr>
                <w:noProof/>
                <w:webHidden/>
              </w:rPr>
              <w:instrText xml:space="preserve"> PAGEREF _Toc475478004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05" w:history="1">
            <w:r w:rsidR="00024D5E" w:rsidRPr="00953B7B">
              <w:rPr>
                <w:rStyle w:val="Hyperlink"/>
                <w:noProof/>
              </w:rPr>
              <w:t>Data used</w:t>
            </w:r>
            <w:r w:rsidR="00024D5E">
              <w:rPr>
                <w:noProof/>
                <w:webHidden/>
              </w:rPr>
              <w:tab/>
            </w:r>
            <w:r w:rsidR="00024D5E">
              <w:rPr>
                <w:noProof/>
                <w:webHidden/>
              </w:rPr>
              <w:fldChar w:fldCharType="begin"/>
            </w:r>
            <w:r w:rsidR="00024D5E">
              <w:rPr>
                <w:noProof/>
                <w:webHidden/>
              </w:rPr>
              <w:instrText xml:space="preserve"> PAGEREF _Toc475478005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06" w:history="1">
            <w:r w:rsidR="00024D5E" w:rsidRPr="00953B7B">
              <w:rPr>
                <w:rStyle w:val="Hyperlink"/>
                <w:noProof/>
              </w:rPr>
              <w:t>Replication of 1973-2012 research</w:t>
            </w:r>
            <w:r w:rsidR="00024D5E">
              <w:rPr>
                <w:noProof/>
                <w:webHidden/>
              </w:rPr>
              <w:tab/>
            </w:r>
            <w:r w:rsidR="00024D5E">
              <w:rPr>
                <w:noProof/>
                <w:webHidden/>
              </w:rPr>
              <w:fldChar w:fldCharType="begin"/>
            </w:r>
            <w:r w:rsidR="00024D5E">
              <w:rPr>
                <w:noProof/>
                <w:webHidden/>
              </w:rPr>
              <w:instrText xml:space="preserve"> PAGEREF _Toc475478006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BB53FB">
          <w:pPr>
            <w:pStyle w:val="TOC3"/>
            <w:tabs>
              <w:tab w:val="right" w:leader="dot" w:pos="9016"/>
            </w:tabs>
            <w:rPr>
              <w:rFonts w:eastAsiaTheme="minorEastAsia"/>
              <w:noProof/>
              <w:lang w:eastAsia="en-AU"/>
            </w:rPr>
          </w:pPr>
          <w:hyperlink w:anchor="_Toc475478007" w:history="1">
            <w:r w:rsidR="00024D5E" w:rsidRPr="00953B7B">
              <w:rPr>
                <w:rStyle w:val="Hyperlink"/>
                <w:noProof/>
              </w:rPr>
              <w:t>Asset Returns</w:t>
            </w:r>
            <w:r w:rsidR="00024D5E">
              <w:rPr>
                <w:noProof/>
                <w:webHidden/>
              </w:rPr>
              <w:tab/>
            </w:r>
            <w:r w:rsidR="00024D5E">
              <w:rPr>
                <w:noProof/>
                <w:webHidden/>
              </w:rPr>
              <w:fldChar w:fldCharType="begin"/>
            </w:r>
            <w:r w:rsidR="00024D5E">
              <w:rPr>
                <w:noProof/>
                <w:webHidden/>
              </w:rPr>
              <w:instrText xml:space="preserve"> PAGEREF _Toc475478007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BB53FB">
          <w:pPr>
            <w:pStyle w:val="TOC3"/>
            <w:tabs>
              <w:tab w:val="right" w:leader="dot" w:pos="9016"/>
            </w:tabs>
            <w:rPr>
              <w:rFonts w:eastAsiaTheme="minorEastAsia"/>
              <w:noProof/>
              <w:lang w:eastAsia="en-AU"/>
            </w:rPr>
          </w:pPr>
          <w:hyperlink w:anchor="_Toc475478008" w:history="1">
            <w:r w:rsidR="00024D5E" w:rsidRPr="00953B7B">
              <w:rPr>
                <w:rStyle w:val="Hyperlink"/>
                <w:noProof/>
              </w:rPr>
              <w:t>Using the 10m simple moving average to manage risk</w:t>
            </w:r>
            <w:r w:rsidR="00024D5E">
              <w:rPr>
                <w:noProof/>
                <w:webHidden/>
              </w:rPr>
              <w:tab/>
            </w:r>
            <w:r w:rsidR="00024D5E">
              <w:rPr>
                <w:noProof/>
                <w:webHidden/>
              </w:rPr>
              <w:fldChar w:fldCharType="begin"/>
            </w:r>
            <w:r w:rsidR="00024D5E">
              <w:rPr>
                <w:noProof/>
                <w:webHidden/>
              </w:rPr>
              <w:instrText xml:space="preserve"> PAGEREF _Toc475478008 \h </w:instrText>
            </w:r>
            <w:r w:rsidR="00024D5E">
              <w:rPr>
                <w:noProof/>
                <w:webHidden/>
              </w:rPr>
            </w:r>
            <w:r w:rsidR="00024D5E">
              <w:rPr>
                <w:noProof/>
                <w:webHidden/>
              </w:rPr>
              <w:fldChar w:fldCharType="separate"/>
            </w:r>
            <w:r w:rsidR="00024D5E">
              <w:rPr>
                <w:noProof/>
                <w:webHidden/>
              </w:rPr>
              <w:t>6</w:t>
            </w:r>
            <w:r w:rsidR="00024D5E">
              <w:rPr>
                <w:noProof/>
                <w:webHidden/>
              </w:rPr>
              <w:fldChar w:fldCharType="end"/>
            </w:r>
          </w:hyperlink>
        </w:p>
        <w:p w:rsidR="00024D5E" w:rsidRDefault="00BB53FB">
          <w:pPr>
            <w:pStyle w:val="TOC3"/>
            <w:tabs>
              <w:tab w:val="right" w:leader="dot" w:pos="9016"/>
            </w:tabs>
            <w:rPr>
              <w:rFonts w:eastAsiaTheme="minorEastAsia"/>
              <w:noProof/>
              <w:lang w:eastAsia="en-AU"/>
            </w:rPr>
          </w:pPr>
          <w:hyperlink w:anchor="_Toc475478009" w:history="1">
            <w:r w:rsidR="00024D5E" w:rsidRPr="00953B7B">
              <w:rPr>
                <w:rStyle w:val="Hyperlink"/>
                <w:noProof/>
              </w:rPr>
              <w:t>Global tactical asset allocation</w:t>
            </w:r>
            <w:r w:rsidR="00024D5E">
              <w:rPr>
                <w:noProof/>
                <w:webHidden/>
              </w:rPr>
              <w:tab/>
            </w:r>
            <w:r w:rsidR="00024D5E">
              <w:rPr>
                <w:noProof/>
                <w:webHidden/>
              </w:rPr>
              <w:fldChar w:fldCharType="begin"/>
            </w:r>
            <w:r w:rsidR="00024D5E">
              <w:rPr>
                <w:noProof/>
                <w:webHidden/>
              </w:rPr>
              <w:instrText xml:space="preserve"> PAGEREF _Toc475478009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0" w:history="1">
            <w:r w:rsidR="00024D5E" w:rsidRPr="00953B7B">
              <w:rPr>
                <w:rStyle w:val="Hyperlink"/>
                <w:noProof/>
              </w:rPr>
              <w:t>Analysis of the results to determine whether the results are credit</w:t>
            </w:r>
            <w:r w:rsidR="00024D5E">
              <w:rPr>
                <w:noProof/>
                <w:webHidden/>
              </w:rPr>
              <w:tab/>
            </w:r>
            <w:r w:rsidR="00024D5E">
              <w:rPr>
                <w:noProof/>
                <w:webHidden/>
              </w:rPr>
              <w:fldChar w:fldCharType="begin"/>
            </w:r>
            <w:r w:rsidR="00024D5E">
              <w:rPr>
                <w:noProof/>
                <w:webHidden/>
              </w:rPr>
              <w:instrText xml:space="preserve"> PAGEREF _Toc475478010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BB53FB">
          <w:pPr>
            <w:pStyle w:val="TOC3"/>
            <w:tabs>
              <w:tab w:val="right" w:leader="dot" w:pos="9016"/>
            </w:tabs>
            <w:rPr>
              <w:rFonts w:eastAsiaTheme="minorEastAsia"/>
              <w:noProof/>
              <w:lang w:eastAsia="en-AU"/>
            </w:rPr>
          </w:pPr>
          <w:hyperlink w:anchor="_Toc475478011" w:history="1">
            <w:r w:rsidR="00024D5E" w:rsidRPr="00953B7B">
              <w:rPr>
                <w:rStyle w:val="Hyperlink"/>
                <w:noProof/>
              </w:rPr>
              <w:t>Key differences and explanations</w:t>
            </w:r>
            <w:r w:rsidR="00024D5E">
              <w:rPr>
                <w:noProof/>
                <w:webHidden/>
              </w:rPr>
              <w:tab/>
            </w:r>
            <w:r w:rsidR="00024D5E">
              <w:rPr>
                <w:noProof/>
                <w:webHidden/>
              </w:rPr>
              <w:fldChar w:fldCharType="begin"/>
            </w:r>
            <w:r w:rsidR="00024D5E">
              <w:rPr>
                <w:noProof/>
                <w:webHidden/>
              </w:rPr>
              <w:instrText xml:space="preserve"> PAGEREF _Toc475478011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2" w:history="1">
            <w:r w:rsidR="00024D5E" w:rsidRPr="00953B7B">
              <w:rPr>
                <w:rStyle w:val="Hyperlink"/>
                <w:noProof/>
              </w:rPr>
              <w:t>Extension to include 2012-2016</w:t>
            </w:r>
            <w:r w:rsidR="00024D5E">
              <w:rPr>
                <w:noProof/>
                <w:webHidden/>
              </w:rPr>
              <w:tab/>
            </w:r>
            <w:r w:rsidR="00024D5E">
              <w:rPr>
                <w:noProof/>
                <w:webHidden/>
              </w:rPr>
              <w:fldChar w:fldCharType="begin"/>
            </w:r>
            <w:r w:rsidR="00024D5E">
              <w:rPr>
                <w:noProof/>
                <w:webHidden/>
              </w:rPr>
              <w:instrText xml:space="preserve"> PAGEREF _Toc475478012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3" w:history="1">
            <w:r w:rsidR="00024D5E" w:rsidRPr="00953B7B">
              <w:rPr>
                <w:rStyle w:val="Hyperlink"/>
                <w:noProof/>
              </w:rPr>
              <w:t>Observations</w:t>
            </w:r>
            <w:r w:rsidR="00024D5E">
              <w:rPr>
                <w:noProof/>
                <w:webHidden/>
              </w:rPr>
              <w:tab/>
            </w:r>
            <w:r w:rsidR="00024D5E">
              <w:rPr>
                <w:noProof/>
                <w:webHidden/>
              </w:rPr>
              <w:fldChar w:fldCharType="begin"/>
            </w:r>
            <w:r w:rsidR="00024D5E">
              <w:rPr>
                <w:noProof/>
                <w:webHidden/>
              </w:rPr>
              <w:instrText xml:space="preserve"> PAGEREF _Toc475478013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4"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_Toc475478014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5"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_Toc475478015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16" w:history="1">
            <w:r w:rsidR="00024D5E" w:rsidRPr="00953B7B">
              <w:rPr>
                <w:rStyle w:val="Hyperlink"/>
                <w:noProof/>
              </w:rPr>
              <w:t>Diversification and Modern Portfolio Theory</w:t>
            </w:r>
            <w:r w:rsidR="00024D5E">
              <w:rPr>
                <w:noProof/>
                <w:webHidden/>
              </w:rPr>
              <w:tab/>
            </w:r>
            <w:r w:rsidR="00024D5E">
              <w:rPr>
                <w:noProof/>
                <w:webHidden/>
              </w:rPr>
              <w:fldChar w:fldCharType="begin"/>
            </w:r>
            <w:r w:rsidR="00024D5E">
              <w:rPr>
                <w:noProof/>
                <w:webHidden/>
              </w:rPr>
              <w:instrText xml:space="preserve"> PAGEREF _Toc475478016 \h </w:instrText>
            </w:r>
            <w:r w:rsidR="00024D5E">
              <w:rPr>
                <w:noProof/>
                <w:webHidden/>
              </w:rPr>
            </w:r>
            <w:r w:rsidR="00024D5E">
              <w:rPr>
                <w:noProof/>
                <w:webHidden/>
              </w:rPr>
              <w:fldChar w:fldCharType="separate"/>
            </w:r>
            <w:r w:rsidR="00024D5E">
              <w:rPr>
                <w:noProof/>
                <w:webHidden/>
              </w:rPr>
              <w:t>9</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17" w:history="1">
            <w:r w:rsidR="00024D5E" w:rsidRPr="00953B7B">
              <w:rPr>
                <w:rStyle w:val="Hyperlink"/>
                <w:noProof/>
              </w:rPr>
              <w:t>Observations of the Faber model</w:t>
            </w:r>
            <w:r w:rsidR="00024D5E">
              <w:rPr>
                <w:noProof/>
                <w:webHidden/>
              </w:rPr>
              <w:tab/>
            </w:r>
            <w:r w:rsidR="00024D5E">
              <w:rPr>
                <w:noProof/>
                <w:webHidden/>
              </w:rPr>
              <w:fldChar w:fldCharType="begin"/>
            </w:r>
            <w:r w:rsidR="00024D5E">
              <w:rPr>
                <w:noProof/>
                <w:webHidden/>
              </w:rPr>
              <w:instrText xml:space="preserve"> PAGEREF _Toc475478017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8" w:history="1">
            <w:r w:rsidR="00024D5E" w:rsidRPr="00953B7B">
              <w:rPr>
                <w:rStyle w:val="Hyperlink"/>
                <w:noProof/>
              </w:rPr>
              <w:t>Tail risk</w:t>
            </w:r>
            <w:r w:rsidR="00024D5E">
              <w:rPr>
                <w:noProof/>
                <w:webHidden/>
              </w:rPr>
              <w:tab/>
            </w:r>
            <w:r w:rsidR="00024D5E">
              <w:rPr>
                <w:noProof/>
                <w:webHidden/>
              </w:rPr>
              <w:fldChar w:fldCharType="begin"/>
            </w:r>
            <w:r w:rsidR="00024D5E">
              <w:rPr>
                <w:noProof/>
                <w:webHidden/>
              </w:rPr>
              <w:instrText xml:space="preserve"> PAGEREF _Toc475478018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19" w:history="1">
            <w:r w:rsidR="00024D5E" w:rsidRPr="00953B7B">
              <w:rPr>
                <w:rStyle w:val="Hyperlink"/>
                <w:noProof/>
              </w:rPr>
              <w:t>Trend following as a solution to modern portfolio selection?</w:t>
            </w:r>
            <w:r w:rsidR="00024D5E">
              <w:rPr>
                <w:noProof/>
                <w:webHidden/>
              </w:rPr>
              <w:tab/>
            </w:r>
            <w:r w:rsidR="00024D5E">
              <w:rPr>
                <w:noProof/>
                <w:webHidden/>
              </w:rPr>
              <w:fldChar w:fldCharType="begin"/>
            </w:r>
            <w:r w:rsidR="00024D5E">
              <w:rPr>
                <w:noProof/>
                <w:webHidden/>
              </w:rPr>
              <w:instrText xml:space="preserve"> PAGEREF _Toc475478019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20" w:history="1">
            <w:r w:rsidR="00024D5E" w:rsidRPr="00953B7B">
              <w:rPr>
                <w:rStyle w:val="Hyperlink"/>
                <w:noProof/>
              </w:rPr>
              <w:t>Behavioural issues with the strategy</w:t>
            </w:r>
            <w:r w:rsidR="00024D5E">
              <w:rPr>
                <w:noProof/>
                <w:webHidden/>
              </w:rPr>
              <w:tab/>
            </w:r>
            <w:r w:rsidR="00024D5E">
              <w:rPr>
                <w:noProof/>
                <w:webHidden/>
              </w:rPr>
              <w:fldChar w:fldCharType="begin"/>
            </w:r>
            <w:r w:rsidR="00024D5E">
              <w:rPr>
                <w:noProof/>
                <w:webHidden/>
              </w:rPr>
              <w:instrText xml:space="preserve"> PAGEREF _Toc475478020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21" w:history="1">
            <w:r w:rsidR="00024D5E" w:rsidRPr="00953B7B">
              <w:rPr>
                <w:rStyle w:val="Hyperlink"/>
                <w:noProof/>
              </w:rPr>
              <w:t>Further Extensions</w:t>
            </w:r>
            <w:r w:rsidR="00024D5E">
              <w:rPr>
                <w:noProof/>
                <w:webHidden/>
              </w:rPr>
              <w:tab/>
            </w:r>
            <w:r w:rsidR="00024D5E">
              <w:rPr>
                <w:noProof/>
                <w:webHidden/>
              </w:rPr>
              <w:fldChar w:fldCharType="begin"/>
            </w:r>
            <w:r w:rsidR="00024D5E">
              <w:rPr>
                <w:noProof/>
                <w:webHidden/>
              </w:rPr>
              <w:instrText xml:space="preserve"> PAGEREF _Toc475478021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BB53FB">
          <w:pPr>
            <w:pStyle w:val="TOC2"/>
            <w:tabs>
              <w:tab w:val="right" w:leader="dot" w:pos="9016"/>
            </w:tabs>
            <w:rPr>
              <w:rFonts w:eastAsiaTheme="minorEastAsia"/>
              <w:noProof/>
              <w:lang w:eastAsia="en-AU"/>
            </w:rPr>
          </w:pPr>
          <w:hyperlink w:anchor="_Toc475478022" w:history="1">
            <w:r w:rsidR="00024D5E" w:rsidRPr="00953B7B">
              <w:rPr>
                <w:rStyle w:val="Hyperlink"/>
                <w:noProof/>
              </w:rPr>
              <w:t>Leverage and Portfolio theory</w:t>
            </w:r>
            <w:r w:rsidR="00024D5E">
              <w:rPr>
                <w:noProof/>
                <w:webHidden/>
              </w:rPr>
              <w:tab/>
            </w:r>
            <w:r w:rsidR="00024D5E">
              <w:rPr>
                <w:noProof/>
                <w:webHidden/>
              </w:rPr>
              <w:fldChar w:fldCharType="begin"/>
            </w:r>
            <w:r w:rsidR="00024D5E">
              <w:rPr>
                <w:noProof/>
                <w:webHidden/>
              </w:rPr>
              <w:instrText xml:space="preserve"> PAGEREF _Toc475478022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3" w:history="1">
            <w:r w:rsidR="00024D5E" w:rsidRPr="00953B7B">
              <w:rPr>
                <w:rStyle w:val="Hyperlink"/>
                <w:noProof/>
              </w:rPr>
              <w:t>Practical implications for Institutional and Retail Investors</w:t>
            </w:r>
            <w:r w:rsidR="00024D5E">
              <w:rPr>
                <w:noProof/>
                <w:webHidden/>
              </w:rPr>
              <w:tab/>
            </w:r>
            <w:r w:rsidR="00024D5E">
              <w:rPr>
                <w:noProof/>
                <w:webHidden/>
              </w:rPr>
              <w:fldChar w:fldCharType="begin"/>
            </w:r>
            <w:r w:rsidR="00024D5E">
              <w:rPr>
                <w:noProof/>
                <w:webHidden/>
              </w:rPr>
              <w:instrText xml:space="preserve"> PAGEREF _Toc475478023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4" w:history="1">
            <w:r w:rsidR="00024D5E" w:rsidRPr="00953B7B">
              <w:rPr>
                <w:rStyle w:val="Hyperlink"/>
                <w:noProof/>
              </w:rPr>
              <w:t>Active vs Passive</w:t>
            </w:r>
            <w:r w:rsidR="00024D5E">
              <w:rPr>
                <w:noProof/>
                <w:webHidden/>
              </w:rPr>
              <w:tab/>
            </w:r>
            <w:r w:rsidR="00024D5E">
              <w:rPr>
                <w:noProof/>
                <w:webHidden/>
              </w:rPr>
              <w:fldChar w:fldCharType="begin"/>
            </w:r>
            <w:r w:rsidR="00024D5E">
              <w:rPr>
                <w:noProof/>
                <w:webHidden/>
              </w:rPr>
              <w:instrText xml:space="preserve"> PAGEREF _Toc475478024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5" w:history="1">
            <w:r w:rsidR="00024D5E" w:rsidRPr="00953B7B">
              <w:rPr>
                <w:rStyle w:val="Hyperlink"/>
                <w:noProof/>
              </w:rPr>
              <w:t>Should commodities be removed</w:t>
            </w:r>
            <w:r w:rsidR="00024D5E">
              <w:rPr>
                <w:noProof/>
                <w:webHidden/>
              </w:rPr>
              <w:tab/>
            </w:r>
            <w:r w:rsidR="00024D5E">
              <w:rPr>
                <w:noProof/>
                <w:webHidden/>
              </w:rPr>
              <w:fldChar w:fldCharType="begin"/>
            </w:r>
            <w:r w:rsidR="00024D5E">
              <w:rPr>
                <w:noProof/>
                <w:webHidden/>
              </w:rPr>
              <w:instrText xml:space="preserve"> PAGEREF _Toc475478025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6" w:history="1">
            <w:r w:rsidR="00024D5E" w:rsidRPr="00953B7B">
              <w:rPr>
                <w:rStyle w:val="Hyperlink"/>
                <w:noProof/>
              </w:rPr>
              <w:t>Will the model work with rising interest rates?</w:t>
            </w:r>
            <w:r w:rsidR="00024D5E">
              <w:rPr>
                <w:noProof/>
                <w:webHidden/>
              </w:rPr>
              <w:tab/>
            </w:r>
            <w:r w:rsidR="00024D5E">
              <w:rPr>
                <w:noProof/>
                <w:webHidden/>
              </w:rPr>
              <w:fldChar w:fldCharType="begin"/>
            </w:r>
            <w:r w:rsidR="00024D5E">
              <w:rPr>
                <w:noProof/>
                <w:webHidden/>
              </w:rPr>
              <w:instrText xml:space="preserve"> PAGEREF _Toc475478026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7" w:history="1">
            <w:r w:rsidR="00024D5E" w:rsidRPr="00953B7B">
              <w:rPr>
                <w:rStyle w:val="Hyperlink"/>
                <w:noProof/>
              </w:rPr>
              <w:t>Ideas and tests to improve Fabers approach</w:t>
            </w:r>
            <w:r w:rsidR="00024D5E">
              <w:rPr>
                <w:noProof/>
                <w:webHidden/>
              </w:rPr>
              <w:tab/>
            </w:r>
            <w:r w:rsidR="00024D5E">
              <w:rPr>
                <w:noProof/>
                <w:webHidden/>
              </w:rPr>
              <w:fldChar w:fldCharType="begin"/>
            </w:r>
            <w:r w:rsidR="00024D5E">
              <w:rPr>
                <w:noProof/>
                <w:webHidden/>
              </w:rPr>
              <w:instrText xml:space="preserve"> PAGEREF _Toc475478027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8" w:history="1">
            <w:r w:rsidR="00024D5E" w:rsidRPr="00953B7B">
              <w:rPr>
                <w:rStyle w:val="Hyperlink"/>
                <w:noProof/>
              </w:rPr>
              <w:t>Appendix – Using R and R code</w:t>
            </w:r>
            <w:r w:rsidR="00024D5E">
              <w:rPr>
                <w:noProof/>
                <w:webHidden/>
              </w:rPr>
              <w:tab/>
            </w:r>
            <w:r w:rsidR="00024D5E">
              <w:rPr>
                <w:noProof/>
                <w:webHidden/>
              </w:rPr>
              <w:fldChar w:fldCharType="begin"/>
            </w:r>
            <w:r w:rsidR="00024D5E">
              <w:rPr>
                <w:noProof/>
                <w:webHidden/>
              </w:rPr>
              <w:instrText xml:space="preserve"> PAGEREF _Toc475478028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BB53FB">
          <w:pPr>
            <w:pStyle w:val="TOC1"/>
            <w:tabs>
              <w:tab w:val="right" w:leader="dot" w:pos="9016"/>
            </w:tabs>
            <w:rPr>
              <w:rFonts w:eastAsiaTheme="minorEastAsia"/>
              <w:noProof/>
              <w:lang w:eastAsia="en-AU"/>
            </w:rPr>
          </w:pPr>
          <w:hyperlink w:anchor="_Toc475478029" w:history="1">
            <w:r w:rsidR="00024D5E" w:rsidRPr="00953B7B">
              <w:rPr>
                <w:rStyle w:val="Hyperlink"/>
                <w:noProof/>
              </w:rPr>
              <w:t>References</w:t>
            </w:r>
            <w:r w:rsidR="00024D5E">
              <w:rPr>
                <w:noProof/>
                <w:webHidden/>
              </w:rPr>
              <w:tab/>
            </w:r>
            <w:r w:rsidR="00024D5E">
              <w:rPr>
                <w:noProof/>
                <w:webHidden/>
              </w:rPr>
              <w:fldChar w:fldCharType="begin"/>
            </w:r>
            <w:r w:rsidR="00024D5E">
              <w:rPr>
                <w:noProof/>
                <w:webHidden/>
              </w:rPr>
              <w:instrText xml:space="preserve"> PAGEREF _Toc475478029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D4185D" w:rsidRDefault="00D4185D" w:rsidP="00D4185D">
      <w:r>
        <w:t>Mebane Faber released a paper in 2006 (http://papers.ssrn.com/sol3/papers.cfm?abstract_id=962461) which applies a trend following market timing model to manage risk on a portfolio equally weighted with 5 asset classes (20% US Large Cap Equities, 20% Foreign Developed Equities, 20% US 10yr Gov Bonds, 20% commodities and 20% real estate).</w:t>
      </w:r>
    </w:p>
    <w:p w:rsidR="00D4185D" w:rsidRDefault="00D4185D" w:rsidP="00D4185D">
      <w:r>
        <w:t>The results showed the simple moving average based market timing system commonly used in CTAs could be applied to asset allocation to significant improve the performance and risk metrics compared to a standard buy and hold strategy. Depending on the moving average period used, the market timing system had similar or slightly better returns (9.54-10.73% CAGR vs 9.92% CAGR) to the buy and hold strategy. However, the timing system reduced volatility from 10.28% to 6.83%-7.09%, improving the sharpe ratio (rf 5.41%) from 0.44 to 0.60-0.77. Max DD was also significantly improved from 46% to 9.76%-17.42%.</w:t>
      </w:r>
    </w:p>
    <w:p w:rsidR="00D4185D" w:rsidRDefault="00D4185D" w:rsidP="00D4185D">
      <w:r>
        <w:t xml:space="preserve">Faber's model is applied to 5 asset classes - US Equities, Foreign Develeped country equities, Fixed Income, Commodities and Real Assets/Real estate. He uses the following data series to represent these asset classes. </w:t>
      </w:r>
    </w:p>
    <w:p w:rsidR="00D4185D" w:rsidRDefault="00D4185D" w:rsidP="00D4185D">
      <w:r>
        <w:t>- S&amp;P 500</w:t>
      </w:r>
    </w:p>
    <w:p w:rsidR="00D4185D" w:rsidRDefault="00D4185D" w:rsidP="00D4185D">
      <w:r>
        <w:t>- MSCI EAFE</w:t>
      </w:r>
    </w:p>
    <w:p w:rsidR="00D4185D" w:rsidRDefault="00D4185D" w:rsidP="00D4185D">
      <w:r>
        <w:t>- US 10 Year Government Bonds</w:t>
      </w:r>
    </w:p>
    <w:p w:rsidR="00D4185D" w:rsidRDefault="00D4185D" w:rsidP="00D4185D">
      <w:r>
        <w:t>- Goldman Sachs Commodity Index</w:t>
      </w:r>
    </w:p>
    <w:p w:rsidR="00D4185D" w:rsidRDefault="00D4185D" w:rsidP="00D4185D">
      <w:r>
        <w:t>- NAREIT Index</w:t>
      </w:r>
    </w:p>
    <w:p w:rsidR="00D4185D" w:rsidRDefault="00D4185D" w:rsidP="00D4185D">
      <w:r>
        <w:t>All data series are total return series including dividends and income. Monthly data is used over the period 1972-2012 which i have extended to include up to the end of 2016 for further analysis.</w:t>
      </w:r>
    </w:p>
    <w:p w:rsidR="00D4185D" w:rsidRDefault="00D4185D" w:rsidP="00D4185D">
      <w:r>
        <w:t>The data provider for Fabers research is Global Financial Data -  unfortunately a paid service i could get access to.</w:t>
      </w:r>
    </w:p>
    <w:p w:rsidR="00D4185D" w:rsidRDefault="00D4185D" w:rsidP="00D4185D">
      <w:r>
        <w:t>4 of the 5 indices were available on Bloomberg. The US 10 Yr Government bonds total returns index had to be recreated using yields available on FRED. Although there are small discrepancies in performance statistics i am confident the data is close enough to the original data that it can be used.</w:t>
      </w:r>
      <w:r w:rsidR="00E35E6C">
        <w:t xml:space="preserve"> </w:t>
      </w:r>
      <w:r>
        <w:t>See appendix for more details.</w:t>
      </w:r>
    </w:p>
    <w:p w:rsidR="00D4185D" w:rsidRDefault="00D4185D" w:rsidP="00AE76CF"/>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 xml:space="preserve">he Journal of Wealth Management </w:t>
      </w:r>
      <w:r>
        <w:lastRenderedPageBreak/>
        <w:t>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478005"/>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478006"/>
      <w:r>
        <w:t xml:space="preserve">Replication of </w:t>
      </w:r>
      <w:bookmarkEnd w:id="6"/>
      <w:r w:rsidR="004A5810">
        <w:t>asset returns and extension to include 2013-2016</w:t>
      </w:r>
    </w:p>
    <w:p w:rsidR="00DF6E5E" w:rsidRPr="00DF6E5E" w:rsidRDefault="00DF6E5E" w:rsidP="00DF6E5E">
      <w:pPr>
        <w:pStyle w:val="Heading3"/>
      </w:pPr>
      <w:bookmarkStart w:id="7" w:name="_Toc475478007"/>
      <w:r>
        <w:t>Asset Returns</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 </w:t>
      </w:r>
      <w:r w:rsidR="009C3F7C">
        <w:t xml:space="preserve">visually </w:t>
      </w:r>
      <w:r>
        <w:t xml:space="preserve">confirms the data obtained is fairly close to the data Faber original used provided by Global Financial Data. </w:t>
      </w:r>
    </w:p>
    <w:p w:rsidR="004D04CE" w:rsidRDefault="00F60858" w:rsidP="001D4B36">
      <w:r>
        <w:rPr>
          <w:noProof/>
          <w:lang w:eastAsia="en-AU"/>
        </w:rPr>
        <w:lastRenderedPageBreak/>
        <w:drawing>
          <wp:inline distT="0" distB="0" distL="0" distR="0" wp14:anchorId="61E2DC00" wp14:editId="2DDBAF9F">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r w:rsidR="004D04CE">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commodities (GSCI) have continued to underperform since its most recent peak in 2008. Zoomed in to confirm its much more obvious. </w:t>
      </w:r>
    </w:p>
    <w:p w:rsidR="004D04CE" w:rsidRDefault="004D04CE" w:rsidP="001D4B36">
      <w:r>
        <w:rPr>
          <w:noProof/>
          <w:lang w:eastAsia="en-AU"/>
        </w:rPr>
        <w:lastRenderedPageBreak/>
        <w:drawing>
          <wp:inline distT="0" distB="0" distL="0" distR="0" wp14:anchorId="61444D86" wp14:editId="20A8EAE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265C86" w:rsidTr="00CF1311">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CF1311">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CF1311">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CF1311">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65C86" w:rsidP="001D4B3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265C86" w:rsidTr="00960353">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265C86" w:rsidTr="00960353">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-0.30%</w:t>
            </w:r>
          </w:p>
        </w:tc>
      </w:tr>
      <w:tr w:rsidR="00265C86" w:rsidTr="00960353">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lastRenderedPageBreak/>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bl>
    <w:p w:rsidR="00265C86" w:rsidRDefault="00265C86" w:rsidP="001D4B36"/>
    <w:p w:rsidR="00534BA0" w:rsidRDefault="00534BA0" w:rsidP="00534BA0">
      <w:r>
        <w:t>Differences here to the original paper are small:</w:t>
      </w:r>
    </w:p>
    <w:p w:rsidR="00534BA0" w:rsidRDefault="00534BA0" w:rsidP="00534BA0">
      <w:pPr>
        <w:pStyle w:val="ListParagraph"/>
        <w:numPr>
          <w:ilvl w:val="0"/>
          <w:numId w:val="1"/>
        </w:numPr>
      </w:pPr>
      <w:r>
        <w:t>Differences in returns &lt;0.07%</w:t>
      </w:r>
    </w:p>
    <w:p w:rsidR="00534BA0" w:rsidRDefault="00534BA0" w:rsidP="00534BA0">
      <w:pPr>
        <w:pStyle w:val="ListParagraph"/>
        <w:numPr>
          <w:ilvl w:val="0"/>
          <w:numId w:val="1"/>
        </w:numPr>
      </w:pPr>
      <w:r>
        <w:t>Differences in volatility &lt;0.03%</w:t>
      </w:r>
    </w:p>
    <w:p w:rsidR="00534BA0" w:rsidRDefault="00534BA0" w:rsidP="00534BA0">
      <w:r>
        <w:t>Suspect this is from small differences between data providers. Comfortable using for rest of research.</w:t>
      </w:r>
    </w:p>
    <w:p w:rsidR="00265C86" w:rsidRDefault="00265C86" w:rsidP="001D4B36">
      <w:r>
        <w:t>Next extending this to include 2013-2016:</w:t>
      </w:r>
    </w:p>
    <w:tbl>
      <w:tblPr>
        <w:tblW w:w="5000" w:type="pct"/>
        <w:jc w:val="center"/>
        <w:tblCellMar>
          <w:left w:w="0" w:type="dxa"/>
          <w:right w:w="0" w:type="dxa"/>
        </w:tblCellMar>
        <w:tblLook w:val="04A0" w:firstRow="1" w:lastRow="0" w:firstColumn="1" w:lastColumn="0" w:noHBand="0" w:noVBand="1"/>
      </w:tblPr>
      <w:tblGrid>
        <w:gridCol w:w="2030"/>
        <w:gridCol w:w="877"/>
        <w:gridCol w:w="1108"/>
        <w:gridCol w:w="1098"/>
        <w:gridCol w:w="1695"/>
        <w:gridCol w:w="1108"/>
        <w:gridCol w:w="1110"/>
      </w:tblGrid>
      <w:tr w:rsidR="00265C86" w:rsidTr="00960353">
        <w:trPr>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960353">
        <w:trPr>
          <w:trHeight w:val="315"/>
          <w:jc w:val="center"/>
        </w:trPr>
        <w:tc>
          <w:tcPr>
            <w:tcW w:w="1124"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48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0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9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960353">
        <w:trPr>
          <w:trHeight w:val="315"/>
          <w:jc w:val="center"/>
        </w:trPr>
        <w:tc>
          <w:tcPr>
            <w:tcW w:w="1124"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48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0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9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265C86" w:rsidRDefault="00265C86" w:rsidP="001D4B36">
      <w:r>
        <w:t xml:space="preserve"> Looking at the effect of the la</w:t>
      </w:r>
      <w:r w:rsidR="00C60EE6">
        <w:t>st 4 years on Faber’s research:</w:t>
      </w:r>
    </w:p>
    <w:tbl>
      <w:tblPr>
        <w:tblW w:w="8520" w:type="dxa"/>
        <w:jc w:val="center"/>
        <w:tblCellMar>
          <w:left w:w="0" w:type="dxa"/>
          <w:right w:w="0" w:type="dxa"/>
        </w:tblCellMar>
        <w:tblLook w:val="04A0" w:firstRow="1" w:lastRow="0" w:firstColumn="1" w:lastColumn="0" w:noHBand="0" w:noVBand="1"/>
      </w:tblPr>
      <w:tblGrid>
        <w:gridCol w:w="2151"/>
        <w:gridCol w:w="1001"/>
        <w:gridCol w:w="1001"/>
        <w:gridCol w:w="1001"/>
        <w:gridCol w:w="1121"/>
        <w:gridCol w:w="1175"/>
        <w:gridCol w:w="1070"/>
      </w:tblGrid>
      <w:tr w:rsidR="00C60EE6" w:rsidTr="00C60EE6">
        <w:trPr>
          <w:trHeight w:val="315"/>
          <w:jc w:val="center"/>
        </w:trPr>
        <w:tc>
          <w:tcPr>
            <w:tcW w:w="852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C60EE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C60EE6" w:rsidTr="00C60EE6">
        <w:trPr>
          <w:trHeight w:val="315"/>
          <w:jc w:val="center"/>
        </w:trPr>
        <w:tc>
          <w:tcPr>
            <w:tcW w:w="0" w:type="auto"/>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8 -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-8.87%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-9.41%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-29.69%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5.26%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-2.27%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-1.77%</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-0.25%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19.59%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lastRenderedPageBreak/>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265C86" w:rsidRDefault="00C60EE6" w:rsidP="00D4185D">
      <w:pPr>
        <w:pStyle w:val="ListParagraph"/>
        <w:numPr>
          <w:ilvl w:val="0"/>
          <w:numId w:val="9"/>
        </w:numPr>
      </w:pPr>
      <w:r>
        <w:t xml:space="preserve">SP500 returns have improved 0.41% and risk reduced 0.41% improving its sharpe ratio. </w:t>
      </w:r>
    </w:p>
    <w:p w:rsidR="00C60EE6" w:rsidRDefault="00C60EE6" w:rsidP="00D4185D">
      <w:pPr>
        <w:pStyle w:val="ListParagraph"/>
        <w:numPr>
          <w:ilvl w:val="0"/>
          <w:numId w:val="9"/>
        </w:numPr>
      </w:pPr>
      <w:r>
        <w:t>TBILL CAGR have dropped – which makes sense considering near zero rates recently.</w:t>
      </w:r>
    </w:p>
    <w:p w:rsidR="004D04CE" w:rsidRDefault="004D04CE" w:rsidP="001D4B36"/>
    <w:p w:rsidR="003E2D5A" w:rsidRDefault="003E2D5A" w:rsidP="004A5810">
      <w:pPr>
        <w:pStyle w:val="Heading2"/>
      </w:pPr>
      <w:r>
        <w:t>Timing Signal</w:t>
      </w:r>
    </w:p>
    <w:p w:rsidR="00E47429" w:rsidRPr="00E47429" w:rsidRDefault="00E47429" w:rsidP="00E47429">
      <w:r>
        <w:t>Let’s look at the timing signal on individual assets (do this for SA only?)</w:t>
      </w:r>
    </w:p>
    <w:p w:rsidR="003E2D5A" w:rsidRDefault="003E2D5A" w:rsidP="004A5810">
      <w:pPr>
        <w:pStyle w:val="Heading2"/>
      </w:pPr>
    </w:p>
    <w:p w:rsidR="00534BA0" w:rsidRDefault="004A5810" w:rsidP="004A5810">
      <w:pPr>
        <w:pStyle w:val="Heading2"/>
      </w:pPr>
      <w:r>
        <w:t>Replication of GTAA and extension to include 2013-2016</w:t>
      </w:r>
    </w:p>
    <w:p w:rsidR="004A5810" w:rsidRDefault="004A5810" w:rsidP="001D4B36"/>
    <w:p w:rsidR="004A5810" w:rsidRDefault="004A5810" w:rsidP="001D4B36">
      <w:r>
        <w:t>Looking at the percent of time invested:</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10 - Percent of the Time Invested, 1973-2012</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11.64%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21.00%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36.80%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23.28%</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481</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4A5810" w:rsidRDefault="004A5810" w:rsidP="001D4B36"/>
    <w:p w:rsidR="004A5810" w:rsidRDefault="004A5810" w:rsidP="001D4B36">
      <w:r>
        <w:t>Data has one month more with 3 invested/one month less with 4 invested.</w:t>
      </w:r>
    </w:p>
    <w:p w:rsidR="004A5810" w:rsidRDefault="0034549A" w:rsidP="001D4B36">
      <w:r>
        <w:t>Extending to include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34549A" w:rsidRDefault="0034549A">
      <w:r>
        <w:br w:type="page"/>
      </w:r>
    </w:p>
    <w:p w:rsidR="0034549A" w:rsidRDefault="0034549A" w:rsidP="001D4B36">
      <w:r>
        <w:lastRenderedPageBreak/>
        <w:t>Looking at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12 - Percent of the Time Invested, 2013-2016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4.08%</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12.24%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34.69%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32.65%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14.29%</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34549A" w:rsidP="001D4B36">
      <w:pPr>
        <w:rPr>
          <w:noProof/>
          <w:lang w:eastAsia="en-AU"/>
        </w:rPr>
      </w:pPr>
      <w:r>
        <w:t>Interesting it was out of the market completely at one point</w:t>
      </w:r>
      <w:r w:rsidRPr="0034549A">
        <w:rPr>
          <w:highlight w:val="yellow"/>
        </w:rPr>
        <w:t xml:space="preserve">. Need to confirm on </w:t>
      </w:r>
      <w:r w:rsidR="00F828BF">
        <w:rPr>
          <w:highlight w:val="yellow"/>
        </w:rPr>
        <w:t xml:space="preserve">asset by asset </w:t>
      </w:r>
      <w:r w:rsidRPr="0034549A">
        <w:rPr>
          <w:highlight w:val="yellow"/>
        </w:rPr>
        <w:t>chart!</w:t>
      </w:r>
      <w:r w:rsidR="00F828BF" w:rsidRPr="00F828BF">
        <w:rPr>
          <w:noProof/>
          <w:lang w:eastAsia="en-AU"/>
        </w:rPr>
        <w:t xml:space="preserve"> </w:t>
      </w:r>
      <w:r w:rsidR="00F828BF">
        <w:rPr>
          <w:noProof/>
          <w:lang w:eastAsia="en-AU"/>
        </w:rPr>
        <w:br/>
      </w:r>
    </w:p>
    <w:p w:rsidR="00F828BF" w:rsidRDefault="00F828BF" w:rsidP="001D4B36">
      <w:pPr>
        <w:rPr>
          <w:noProof/>
          <w:lang w:eastAsia="en-AU"/>
        </w:rPr>
      </w:pPr>
      <w:r>
        <w:rPr>
          <w:noProof/>
          <w:lang w:eastAsia="en-AU"/>
        </w:rPr>
        <w:t>Looking at the GTAA model.</w:t>
      </w:r>
    </w:p>
    <w:p w:rsidR="0034549A" w:rsidRDefault="00F828BF" w:rsidP="001D4B36">
      <w:r>
        <w:rPr>
          <w:noProof/>
          <w:lang w:eastAsia="en-AU"/>
        </w:rPr>
        <w:drawing>
          <wp:inline distT="0" distB="0" distL="0" distR="0" wp14:anchorId="0FA0D69D" wp14:editId="36A9D512">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F828BF" w:rsidRDefault="00F828BF" w:rsidP="001D4B36">
      <w:r>
        <w:t xml:space="preserve">Confirms data and calcs match. </w:t>
      </w:r>
    </w:p>
    <w:p w:rsidR="0034549A" w:rsidRDefault="00F828BF" w:rsidP="001D4B36">
      <w:r>
        <w:t>Extending to 2016:</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E7CA6" w:rsidRDefault="00DE7CA6" w:rsidP="001D4B36">
      <w:r>
        <w:t>Looking at non log (do I need the replicated or just jump straight into extended?)</w:t>
      </w:r>
    </w:p>
    <w:p w:rsidR="00DE7CA6" w:rsidRDefault="00DE7CA6" w:rsidP="001D4B36">
      <w:r>
        <w:rPr>
          <w:noProof/>
          <w:lang w:eastAsia="en-AU"/>
        </w:rPr>
        <w:drawing>
          <wp:inline distT="0" distB="0" distL="0" distR="0" wp14:anchorId="3A8887A8" wp14:editId="1D88BB14">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34549A" w:rsidRDefault="0034549A" w:rsidP="001D4B36"/>
    <w:p w:rsidR="00DE7CA6" w:rsidRDefault="00DE7CA6" w:rsidP="001D4B36">
      <w:r>
        <w:rPr>
          <w:noProof/>
          <w:lang w:eastAsia="en-AU"/>
        </w:rPr>
        <w:lastRenderedPageBreak/>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34549A" w:rsidRDefault="00DE7CA6" w:rsidP="001D4B36">
      <w:r>
        <w:t>Buy and hold outperformed earlier, then GTAA outperformed with less downside before BH caught up. Look at drawdowns and standard deviation to highlight this point.</w:t>
      </w:r>
    </w:p>
    <w:p w:rsidR="00DE7CA6" w:rsidRDefault="00DE7CA6">
      <w:r>
        <w:br w:type="page"/>
      </w:r>
    </w:p>
    <w:p w:rsidR="00DE7CA6" w:rsidRDefault="00DE7CA6" w:rsidP="001D4B36"/>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2.44%</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4.92%</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-6.74%</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600E67" w:rsidTr="00600E67">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00E67"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GTAA</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3.89%</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6.55%</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-0.24</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-9.22%</w:t>
            </w:r>
          </w:p>
        </w:tc>
      </w:tr>
      <w:tr w:rsidR="00600E67"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r>
    </w:tbl>
    <w:p w:rsidR="0034549A" w:rsidRDefault="0034549A" w:rsidP="001D4B36"/>
    <w:p w:rsidR="0034549A" w:rsidRDefault="00600E67" w:rsidP="001D4B36">
      <w:r>
        <w:t>Look at annual returns. Look at above tables feeding in risk free rates.</w:t>
      </w:r>
    </w:p>
    <w:p w:rsidR="00600E67" w:rsidRDefault="00600E67" w:rsidP="001D4B36">
      <w:r>
        <w:t>Then do for SA.</w:t>
      </w:r>
    </w:p>
    <w:p w:rsidR="00534BA0" w:rsidRDefault="00534BA0" w:rsidP="001D4B36"/>
    <w:p w:rsidR="00534BA0" w:rsidRDefault="00534BA0" w:rsidP="001D4B36">
      <w:r>
        <w:t>Save drawdown for SA</w:t>
      </w:r>
      <w:r w:rsidR="001D395F">
        <w:t xml:space="preserve"> analysis</w:t>
      </w:r>
      <w:r>
        <w:t>…</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8" w:name="_Toc475478008"/>
      <w:r>
        <w:t>Using the 10m simple moving average to manage risk</w:t>
      </w:r>
      <w:bookmarkEnd w:id="8"/>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9" w:name="_Toc475478009"/>
      <w:r>
        <w:t>Global tactical asset allocation</w:t>
      </w:r>
      <w:bookmarkEnd w:id="9"/>
    </w:p>
    <w:p w:rsidR="00CD0E9F" w:rsidRDefault="00CD0E9F" w:rsidP="00195FA5"/>
    <w:p w:rsidR="00CD0E9F" w:rsidRDefault="00CD0E9F" w:rsidP="00195FA5"/>
    <w:p w:rsidR="0006019A" w:rsidRDefault="0006019A" w:rsidP="0006019A">
      <w:pPr>
        <w:pStyle w:val="Heading2"/>
      </w:pPr>
      <w:bookmarkStart w:id="10" w:name="_Toc475478010"/>
      <w:r>
        <w:t>Analysis of the results to determine whether the results are credit</w:t>
      </w:r>
      <w:bookmarkEnd w:id="10"/>
      <w:r>
        <w:t xml:space="preserve"> </w:t>
      </w:r>
    </w:p>
    <w:p w:rsidR="0006019A" w:rsidRPr="0006019A" w:rsidRDefault="0006019A" w:rsidP="0006019A">
      <w:pPr>
        <w:pStyle w:val="Heading3"/>
      </w:pPr>
      <w:bookmarkStart w:id="11" w:name="_Toc475478011"/>
      <w:r>
        <w:t>Key differences and explanations</w:t>
      </w:r>
      <w:bookmarkEnd w:id="11"/>
    </w:p>
    <w:p w:rsidR="0006019A" w:rsidRDefault="0006019A" w:rsidP="0006019A">
      <w:pPr>
        <w:pStyle w:val="Heading2"/>
      </w:pPr>
      <w:bookmarkStart w:id="12" w:name="_Toc475478013"/>
      <w:r>
        <w:t>Observations</w:t>
      </w:r>
      <w:bookmarkEnd w:id="12"/>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3" w:name="_Toc475478014"/>
      <w:r>
        <w:t>The model applied to a typical</w:t>
      </w:r>
      <w:r w:rsidR="009F2229">
        <w:t xml:space="preserve"> SA </w:t>
      </w:r>
      <w:r>
        <w:t xml:space="preserve">Asset </w:t>
      </w:r>
      <w:r w:rsidR="009F2229">
        <w:t>Allocation</w:t>
      </w:r>
      <w:bookmarkEnd w:id="13"/>
      <w:r w:rsidR="009F2229">
        <w:t xml:space="preserve"> </w:t>
      </w:r>
    </w:p>
    <w:p w:rsidR="009F2229" w:rsidRDefault="00AE76CF" w:rsidP="00AE76CF">
      <w:pPr>
        <w:pStyle w:val="Heading2"/>
      </w:pPr>
      <w:bookmarkStart w:id="14" w:name="_Toc475478015"/>
      <w:r>
        <w:t>The model applied to a typical SA Asset Allocation</w:t>
      </w:r>
      <w:bookmarkEnd w:id="14"/>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5" w:name="_Toc475478016"/>
      <w:r>
        <w:lastRenderedPageBreak/>
        <w:t xml:space="preserve">Diversification and </w:t>
      </w:r>
      <w:r w:rsidR="005842BD">
        <w:t>Modern Portfolio Theory</w:t>
      </w:r>
      <w:bookmarkEnd w:id="15"/>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B520A8" w:rsidP="005842BD">
      <w:r>
        <w:t xml:space="preserve">Today diversification is seen as the only free lunch. Hedge fund trader Andreas Clenow (following the trend pg 52) states that diversification is the single most important factor to influence overall long term results. </w:t>
      </w:r>
    </w:p>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lastRenderedPageBreak/>
        <w:t>Trend following isn’t about achieving superior absolute returns – its about avoiding the painful drawdowns which destroyed many previous years of gains.</w:t>
      </w:r>
    </w:p>
    <w:p w:rsidR="000D7935" w:rsidRDefault="00B520A8" w:rsidP="008F3E97">
      <w:pPr>
        <w:pStyle w:val="Heading1"/>
        <w:ind w:left="720" w:hanging="720"/>
      </w:pPr>
      <w:r>
        <w:t>Criticism of trend following – look in clenow</w:t>
      </w:r>
    </w:p>
    <w:p w:rsidR="00B520A8" w:rsidRPr="00B520A8" w:rsidRDefault="00B520A8" w:rsidP="00B520A8">
      <w:r>
        <w:t>Long drawdowns, underperformance in bull markets</w:t>
      </w:r>
      <w:bookmarkStart w:id="16" w:name="_GoBack"/>
      <w:bookmarkEnd w:id="16"/>
    </w:p>
    <w:p w:rsidR="00D70BF4" w:rsidRDefault="00D70BF4" w:rsidP="00490943">
      <w:pPr>
        <w:pStyle w:val="Heading1"/>
      </w:pPr>
      <w:bookmarkStart w:id="17" w:name="_Toc475478017"/>
      <w:r>
        <w:t>Observations of the Faber model</w:t>
      </w:r>
      <w:bookmarkEnd w:id="17"/>
    </w:p>
    <w:p w:rsidR="00D70BF4" w:rsidRDefault="00D70BF4" w:rsidP="00D70BF4">
      <w:pPr>
        <w:pStyle w:val="Heading2"/>
      </w:pPr>
      <w:bookmarkStart w:id="18" w:name="_Toc475478018"/>
      <w:r>
        <w:t>Tail risk</w:t>
      </w:r>
      <w:bookmarkEnd w:id="18"/>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19" w:name="_Toc475478019"/>
      <w:r>
        <w:t>Trend following</w:t>
      </w:r>
      <w:r w:rsidR="005842BD">
        <w:t xml:space="preserve"> as a solution to modern portfolio selection?</w:t>
      </w:r>
      <w:bookmarkEnd w:id="19"/>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20" w:name="_Toc475478020"/>
      <w:r>
        <w:t>Behavioural issues with the strategy</w:t>
      </w:r>
      <w:bookmarkEnd w:id="20"/>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lastRenderedPageBreak/>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1" w:name="_Toc475478021"/>
      <w:r>
        <w:t>Further Extensions</w:t>
      </w:r>
      <w:bookmarkEnd w:id="21"/>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2" w:name="_Toc475478022"/>
      <w:r>
        <w:t>Leverage and Portfolio theory</w:t>
      </w:r>
      <w:bookmarkEnd w:id="22"/>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3" w:name="_Toc475478023"/>
      <w:r>
        <w:t>Practical implications for Institutional and Retail Investors</w:t>
      </w:r>
      <w:bookmarkEnd w:id="23"/>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4" w:name="_Toc475478024"/>
      <w:r>
        <w:lastRenderedPageBreak/>
        <w:t>Active vs Passive</w:t>
      </w:r>
      <w:bookmarkEnd w:id="24"/>
    </w:p>
    <w:p w:rsidR="00554DB0" w:rsidRDefault="00554DB0" w:rsidP="00554DB0">
      <w:r>
        <w:t>Evidence should an active model can consistently beat passive</w:t>
      </w:r>
    </w:p>
    <w:p w:rsidR="00554DB0" w:rsidRDefault="00554DB0" w:rsidP="00554DB0">
      <w:pPr>
        <w:pStyle w:val="Heading1"/>
      </w:pPr>
      <w:bookmarkStart w:id="25" w:name="_Toc475478025"/>
      <w:r>
        <w:t>Should commodities be removed</w:t>
      </w:r>
      <w:bookmarkEnd w:id="25"/>
    </w:p>
    <w:p w:rsidR="00554DB0" w:rsidRDefault="00554DB0" w:rsidP="00554DB0">
      <w:r>
        <w:t xml:space="preserve">Recent research has called for commodities to be dropped from a traditional asset allocation as they have performed poorly… Fabers model shows </w:t>
      </w:r>
    </w:p>
    <w:p w:rsidR="00554DB0" w:rsidRPr="00554DB0" w:rsidRDefault="00554DB0" w:rsidP="00554DB0">
      <w:pPr>
        <w:pStyle w:val="Heading1"/>
      </w:pPr>
      <w:bookmarkStart w:id="26" w:name="_Toc475478026"/>
      <w:r>
        <w:t>Will the model work with rising interest rates?</w:t>
      </w:r>
      <w:bookmarkEnd w:id="26"/>
    </w:p>
    <w:p w:rsidR="009F2229" w:rsidRDefault="00490943" w:rsidP="00490943">
      <w:pPr>
        <w:pStyle w:val="Heading1"/>
      </w:pPr>
      <w:bookmarkStart w:id="27" w:name="_Toc475478027"/>
      <w:r>
        <w:t>Ideas and tests to improve Fabers approach</w:t>
      </w:r>
      <w:bookmarkEnd w:id="27"/>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8" w:name="_Toc475478028"/>
      <w:r w:rsidR="00AE76CF">
        <w:t>Appendix – Using R and R code</w:t>
      </w:r>
      <w:bookmarkEnd w:id="28"/>
    </w:p>
    <w:p w:rsidR="0085446E" w:rsidRDefault="008E11B7" w:rsidP="0085446E">
      <w:r>
        <w:t>Notes from R code to add above</w:t>
      </w:r>
      <w:r w:rsidR="00697840">
        <w:t xml:space="preserve"> / or delete</w:t>
      </w:r>
      <w:r>
        <w:t>:</w:t>
      </w:r>
    </w:p>
    <w:p w:rsidR="0009700C" w:rsidRDefault="0009700C" w:rsidP="0009700C"/>
    <w:p w:rsidR="0009700C" w:rsidRDefault="0009700C" w:rsidP="0009700C">
      <w:r>
        <w:t>#### System Rules</w:t>
      </w:r>
    </w:p>
    <w:p w:rsidR="0009700C" w:rsidRDefault="0009700C" w:rsidP="0009700C"/>
    <w:p w:rsidR="0009700C" w:rsidRDefault="0009700C" w:rsidP="0009700C">
      <w:r>
        <w:t>* Buy when monthly price &gt; 10m SMA</w:t>
      </w:r>
    </w:p>
    <w:p w:rsidR="0009700C" w:rsidRDefault="0009700C" w:rsidP="0009700C">
      <w:r>
        <w:t>* Sell and move to cash when monthly price &lt; 10m SMA</w:t>
      </w:r>
    </w:p>
    <w:p w:rsidR="0009700C" w:rsidRDefault="0009700C" w:rsidP="0009700C"/>
    <w:p w:rsidR="0009700C" w:rsidRDefault="0009700C" w:rsidP="0009700C">
      <w:r>
        <w:t>Notes:</w:t>
      </w:r>
    </w:p>
    <w:p w:rsidR="0009700C" w:rsidRDefault="0009700C" w:rsidP="0009700C"/>
    <w:p w:rsidR="0009700C" w:rsidRDefault="0009700C" w:rsidP="0009700C">
      <w:r>
        <w:t>* All entry and exit prices are on day of the signal at the close</w:t>
      </w:r>
    </w:p>
    <w:p w:rsidR="0009700C" w:rsidRDefault="0009700C" w:rsidP="0009700C">
      <w:r>
        <w:t>** means intray price fluctuations are ignored</w:t>
      </w:r>
    </w:p>
    <w:p w:rsidR="0009700C" w:rsidRDefault="0009700C" w:rsidP="0009700C">
      <w:r>
        <w:t>** also should look at trading the next day/week or month?</w:t>
      </w:r>
    </w:p>
    <w:p w:rsidR="0009700C" w:rsidRDefault="0009700C" w:rsidP="0009700C">
      <w:r>
        <w:t>* no taxes commissions or slippages</w:t>
      </w:r>
    </w:p>
    <w:p w:rsidR="0009700C" w:rsidRDefault="0009700C" w:rsidP="0009700C"/>
    <w:p w:rsidR="0009700C" w:rsidRDefault="0009700C" w:rsidP="0009700C">
      <w:r>
        <w:t>####S&amp;P 500 from 1973 - 2016</w:t>
      </w:r>
    </w:p>
    <w:p w:rsidR="0009700C" w:rsidRDefault="0009700C" w:rsidP="0009700C"/>
    <w:p w:rsidR="008E11B7" w:rsidRDefault="0009700C" w:rsidP="0009700C">
      <w:r>
        <w:t>To demostrate the logic and characteristics of the timing system, Faber tests the S&amp;P back to 1901. As i can't get data i will use the INDU (dow jones) as a substitute for now. Note not total returns. Now using shillers data...</w:t>
      </w:r>
    </w:p>
    <w:p w:rsidR="008E11B7" w:rsidRDefault="008E11B7" w:rsidP="0085446E"/>
    <w:p w:rsidR="0085446E" w:rsidRDefault="0085446E" w:rsidP="0085446E">
      <w:pPr>
        <w:pStyle w:val="Heading1"/>
      </w:pPr>
      <w:bookmarkStart w:id="29" w:name="_Toc475478029"/>
      <w:r>
        <w:lastRenderedPageBreak/>
        <w:t>References</w:t>
      </w:r>
      <w:bookmarkEnd w:id="29"/>
    </w:p>
    <w:p w:rsidR="0085446E" w:rsidRDefault="0085446E" w:rsidP="0085446E">
      <w:r>
        <w:t>Inker, B., (2020). “The Hidden Risks of Risk Parity Portfolios”, GMO White Paper</w:t>
      </w:r>
    </w:p>
    <w:p w:rsidR="0085446E" w:rsidRDefault="0085446E" w:rsidP="0085446E">
      <w:r w:rsidRPr="0085446E">
        <w:t xml:space="preserve">Faber, Meb, A Quantitative Approach to Tactical Asset Allocation (February 1, 2013). The Journal of Wealth Management, Spring 2007 . Available at SSRN: </w:t>
      </w:r>
      <w:hyperlink r:id="rId18"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3FB" w:rsidRDefault="00BB53FB" w:rsidP="0032524B">
      <w:pPr>
        <w:spacing w:after="0" w:line="240" w:lineRule="auto"/>
      </w:pPr>
      <w:r>
        <w:separator/>
      </w:r>
    </w:p>
  </w:endnote>
  <w:endnote w:type="continuationSeparator" w:id="0">
    <w:p w:rsidR="00BB53FB" w:rsidRDefault="00BB53FB"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D4185D" w:rsidRDefault="00D4185D">
        <w:pPr>
          <w:pStyle w:val="Footer"/>
          <w:jc w:val="center"/>
        </w:pPr>
        <w:r>
          <w:fldChar w:fldCharType="begin"/>
        </w:r>
        <w:r>
          <w:instrText xml:space="preserve"> PAGE   \* MERGEFORMAT </w:instrText>
        </w:r>
        <w:r>
          <w:fldChar w:fldCharType="separate"/>
        </w:r>
        <w:r w:rsidR="00B520A8">
          <w:rPr>
            <w:noProof/>
          </w:rPr>
          <w:t>16</w:t>
        </w:r>
        <w:r>
          <w:rPr>
            <w:noProof/>
          </w:rPr>
          <w:fldChar w:fldCharType="end"/>
        </w:r>
      </w:p>
    </w:sdtContent>
  </w:sdt>
  <w:p w:rsidR="00D4185D" w:rsidRDefault="00D41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3FB" w:rsidRDefault="00BB53FB" w:rsidP="0032524B">
      <w:pPr>
        <w:spacing w:after="0" w:line="240" w:lineRule="auto"/>
      </w:pPr>
      <w:r>
        <w:separator/>
      </w:r>
    </w:p>
  </w:footnote>
  <w:footnote w:type="continuationSeparator" w:id="0">
    <w:p w:rsidR="00BB53FB" w:rsidRDefault="00BB53FB"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6F39FC"/>
    <w:multiLevelType w:val="hybridMultilevel"/>
    <w:tmpl w:val="65840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9700C"/>
    <w:rsid w:val="000A072F"/>
    <w:rsid w:val="000C5614"/>
    <w:rsid w:val="000D7935"/>
    <w:rsid w:val="00100EFD"/>
    <w:rsid w:val="00127827"/>
    <w:rsid w:val="00146249"/>
    <w:rsid w:val="001579FA"/>
    <w:rsid w:val="00180072"/>
    <w:rsid w:val="00195FA5"/>
    <w:rsid w:val="001A5463"/>
    <w:rsid w:val="001D395F"/>
    <w:rsid w:val="001D4B36"/>
    <w:rsid w:val="001F431D"/>
    <w:rsid w:val="00204D69"/>
    <w:rsid w:val="00213D2E"/>
    <w:rsid w:val="00243FFA"/>
    <w:rsid w:val="00265C86"/>
    <w:rsid w:val="002E1D83"/>
    <w:rsid w:val="00307611"/>
    <w:rsid w:val="0032524B"/>
    <w:rsid w:val="003370E0"/>
    <w:rsid w:val="0034549A"/>
    <w:rsid w:val="003C1858"/>
    <w:rsid w:val="003C330E"/>
    <w:rsid w:val="003E2D4C"/>
    <w:rsid w:val="003E2D5A"/>
    <w:rsid w:val="003F23CE"/>
    <w:rsid w:val="0045569B"/>
    <w:rsid w:val="00490943"/>
    <w:rsid w:val="004A5810"/>
    <w:rsid w:val="004D04CE"/>
    <w:rsid w:val="004D72FC"/>
    <w:rsid w:val="0052197D"/>
    <w:rsid w:val="00530C30"/>
    <w:rsid w:val="00534BA0"/>
    <w:rsid w:val="00554DB0"/>
    <w:rsid w:val="0058101D"/>
    <w:rsid w:val="005842BD"/>
    <w:rsid w:val="005A17BF"/>
    <w:rsid w:val="005B317A"/>
    <w:rsid w:val="00600E67"/>
    <w:rsid w:val="006163BE"/>
    <w:rsid w:val="00697840"/>
    <w:rsid w:val="006A16CD"/>
    <w:rsid w:val="006B62CB"/>
    <w:rsid w:val="0073615D"/>
    <w:rsid w:val="007B058D"/>
    <w:rsid w:val="007B65A3"/>
    <w:rsid w:val="0085446E"/>
    <w:rsid w:val="008B600E"/>
    <w:rsid w:val="008E11B7"/>
    <w:rsid w:val="008F097B"/>
    <w:rsid w:val="008F3E97"/>
    <w:rsid w:val="00960353"/>
    <w:rsid w:val="00993A8D"/>
    <w:rsid w:val="009B7008"/>
    <w:rsid w:val="009C3F7C"/>
    <w:rsid w:val="009E1BB2"/>
    <w:rsid w:val="009E6D6E"/>
    <w:rsid w:val="009F195B"/>
    <w:rsid w:val="009F2229"/>
    <w:rsid w:val="00A75F72"/>
    <w:rsid w:val="00AC5091"/>
    <w:rsid w:val="00AE76CF"/>
    <w:rsid w:val="00B13E84"/>
    <w:rsid w:val="00B520A8"/>
    <w:rsid w:val="00BB53FB"/>
    <w:rsid w:val="00BF7653"/>
    <w:rsid w:val="00C60EE6"/>
    <w:rsid w:val="00C753BC"/>
    <w:rsid w:val="00CB63A2"/>
    <w:rsid w:val="00CD0E9F"/>
    <w:rsid w:val="00CD35BD"/>
    <w:rsid w:val="00CF1311"/>
    <w:rsid w:val="00D31166"/>
    <w:rsid w:val="00D4155F"/>
    <w:rsid w:val="00D4185D"/>
    <w:rsid w:val="00D70BF4"/>
    <w:rsid w:val="00DE7CA6"/>
    <w:rsid w:val="00DF6E5E"/>
    <w:rsid w:val="00E35E6C"/>
    <w:rsid w:val="00E35EBC"/>
    <w:rsid w:val="00E47429"/>
    <w:rsid w:val="00E54064"/>
    <w:rsid w:val="00E87051"/>
    <w:rsid w:val="00EA78E7"/>
    <w:rsid w:val="00ED2639"/>
    <w:rsid w:val="00F00FE1"/>
    <w:rsid w:val="00F02EC8"/>
    <w:rsid w:val="00F307E1"/>
    <w:rsid w:val="00F60858"/>
    <w:rsid w:val="00F828BF"/>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766E"/>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srn.com/abstract=9624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FB4D1-22DF-4960-AB01-FCD5AA59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12664</TotalTime>
  <Pages>20</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29</cp:revision>
  <dcterms:created xsi:type="dcterms:W3CDTF">2017-02-12T09:58:00Z</dcterms:created>
  <dcterms:modified xsi:type="dcterms:W3CDTF">2017-02-28T21:24:00Z</dcterms:modified>
</cp:coreProperties>
</file>