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WordCount!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</w:t>
      </w:r>
      <w:r w:rsidDel="00000000" w:rsidR="00000000" w:rsidRPr="00000000">
        <w:rPr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3.8.x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alre</w:t>
      </w:r>
      <w:r w:rsidDel="00000000" w:rsidR="00000000" w:rsidRPr="00000000">
        <w:rPr>
          <w:b w:val="1"/>
          <w:rtl w:val="0"/>
        </w:rPr>
        <w:t xml:space="preserve">ady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You don’t need to do this!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/>
        <w:drawing>
          <wp:inline distB="114300" distT="114300" distL="114300" distR="114300">
            <wp:extent cx="5274000" cy="2755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want to remove any non-alphanumeric characters</w:t>
      </w:r>
      <w:r w:rsidDel="00000000" w:rsidR="00000000" w:rsidRPr="00000000">
        <w:rPr>
          <w:rtl w:val="0"/>
        </w:rPr>
        <w:t xml:space="preserve">. This is a function that will do that: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With the preliminaries over, the next line loads the data in: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:///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home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/oxclo/datafiles/books/*")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split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</w:t>
        <w:br w:type="textWrapping"/>
        <w:t xml:space="preserve">   print (k,v)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82050" cy="2400586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050" cy="2400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362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“collect at ipython-input”</w:t>
        <w:br w:type="textWrapping"/>
        <w:t xml:space="preserve">This shows you how Spark converted your code into stages: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4597052" cy="325278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052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0, or the latest Stage (Note that if you have done more tha</w:t>
      </w:r>
      <w:r w:rsidDel="00000000" w:rsidR="00000000" w:rsidRPr="00000000">
        <w:rPr>
          <w:rtl w:val="0"/>
        </w:rPr>
        <w:t xml:space="preserve">n one run, it may not be Stage 0!)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528195" cy="447198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195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PYSPARK_DRIVER_PYTHON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on one line)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:///home/oxclo/datafiles/books/*"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4F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8.png"/><Relationship Id="rId22" Type="http://schemas.openxmlformats.org/officeDocument/2006/relationships/footer" Target="footer1.xml"/><Relationship Id="rId10" Type="http://schemas.openxmlformats.org/officeDocument/2006/relationships/image" Target="media/image5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2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