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2.</w:t>
      </w:r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2.7.x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tuple like this (y,x),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geoarray = rdd.map(lambda (y,x): array([y,x]))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clusters = KMeans.train(arrays, numclusters, </w:t>
        <w:br w:type="textWrapping"/>
        <w:tab/>
        <w:t xml:space="preserve">maxIterations=10, runs=10,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print str(list[0]) +","+ str(list[1])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BlairMdITC TT-Medium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