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45B50" w14:textId="77777777" w:rsidR="007F312B" w:rsidRPr="006A28EF" w:rsidRDefault="007F312B" w:rsidP="00E05AA6">
      <w:pPr>
        <w:jc w:val="center"/>
        <w:rPr>
          <w:b/>
          <w:bCs/>
          <w:sz w:val="28"/>
          <w:szCs w:val="28"/>
        </w:rPr>
      </w:pPr>
      <w:r w:rsidRPr="006A28EF">
        <w:rPr>
          <w:b/>
          <w:bCs/>
          <w:sz w:val="28"/>
          <w:szCs w:val="28"/>
        </w:rPr>
        <w:t>DIRECTORS’ REPORT</w:t>
      </w:r>
    </w:p>
    <w:p w14:paraId="4F13BE65" w14:textId="437C0FB8" w:rsidR="00DB03BE" w:rsidRDefault="007F312B" w:rsidP="00532B2E">
      <w:pPr>
        <w:jc w:val="both"/>
        <w:rPr>
          <w:b/>
          <w:bCs/>
        </w:rPr>
      </w:pPr>
      <w:r w:rsidRPr="007F312B">
        <w:rPr>
          <w:b/>
          <w:bCs/>
        </w:rPr>
        <w:t>To the Members of</w:t>
      </w:r>
      <w:r w:rsidR="00DB03BE">
        <w:rPr>
          <w:b/>
          <w:bCs/>
        </w:rPr>
        <w:t>,</w:t>
      </w:r>
    </w:p>
    <w:p w14:paraId="100FED8C" w14:textId="2A569518" w:rsidR="007F312B" w:rsidRPr="007F312B" w:rsidRDefault="007F312B" w:rsidP="00EB26B5">
      <w:r>
        <w:t xml:space="preserve"> {name-2}</w:t>
      </w:r>
      <w:r>
        <w:br/>
        <w:t>CIN: {name-3}</w:t>
      </w:r>
      <w:r>
        <w:br/>
        <w:t>Registered Office: {address-1}</w:t>
      </w:r>
      <w:r>
        <w:br/>
        <w:t>Email: {email-1}</w:t>
      </w:r>
      <w:r>
        <w:br/>
        <w:t>Financial Year: April 1,2024 to March 31,2025</w:t>
      </w:r>
    </w:p>
    <w:p w14:paraId="4E18D366" w14:textId="7C8872F5" w:rsidR="007F312B" w:rsidRPr="007F312B" w:rsidRDefault="007F312B" w:rsidP="00532B2E">
      <w:pPr>
        <w:jc w:val="both"/>
      </w:pPr>
      <w:r>
        <w:t>Your Directors have pleasure in presenting the {number-1}th Annual Report, together with the audited standalone financial statements of the Company for the financial year ended March 31,2025.</w:t>
      </w:r>
    </w:p>
    <w:p w14:paraId="33E625CC" w14:textId="77777777" w:rsidR="007F312B" w:rsidRPr="007F312B" w:rsidRDefault="007F312B" w:rsidP="00532B2E">
      <w:pPr>
        <w:jc w:val="both"/>
        <w:rPr>
          <w:b/>
          <w:bCs/>
        </w:rPr>
      </w:pPr>
      <w:r w:rsidRPr="007F312B">
        <w:rPr>
          <w:b/>
          <w:bCs/>
        </w:rPr>
        <w:t>1) FINANCIAL SUMMARY (Rule 8A(g) of the Companies (Accounts) Rules, 2014)</w:t>
      </w:r>
    </w:p>
    <w:p w14:paraId="1F44C0ED" w14:textId="6C693924" w:rsidR="007F312B" w:rsidRDefault="007F312B" w:rsidP="00532B2E">
      <w:pPr>
        <w:jc w:val="both"/>
      </w:pPr>
      <w:r w:rsidRPr="007F312B">
        <w:t>The financial performance of the Company for the year ended March 31,</w:t>
      </w:r>
      <w:r w:rsidR="00D16228">
        <w:t>2025</w:t>
      </w:r>
      <w:r w:rsidR="006B0CFB">
        <w:t xml:space="preserve"> </w:t>
      </w:r>
      <w:r w:rsidRPr="007F312B">
        <w:t xml:space="preserve"> is summarized below:</w:t>
      </w:r>
    </w:p>
    <w:p w14:paraId="660762C3" w14:textId="210617AF" w:rsidR="00121924" w:rsidRDefault="00532B2E" w:rsidP="00532B2E">
      <w:pPr>
        <w:jc w:val="right"/>
      </w:pPr>
      <w:r>
        <w:t>(in Rs. {{</w:t>
      </w:r>
      <w:proofErr w:type="spellStart"/>
      <w:r w:rsidR="00ED3282" w:rsidRPr="00ED3282">
        <w:t>AmountUnit</w:t>
      </w:r>
      <w:proofErr w:type="spellEnd"/>
      <w:r w:rsidR="00ED3282" w:rsidRPr="00ED3282">
        <w:t>}}</w:t>
      </w:r>
      <w:r w:rsidR="00ED3282">
        <w:t>)</w:t>
      </w:r>
    </w:p>
    <w:tbl>
      <w:tblPr>
        <w:tblStyle w:val="TableGrid"/>
        <w:tblW w:w="0" w:type="auto"/>
        <w:tblLook w:val="04A0" w:firstRow="1" w:lastRow="0" w:firstColumn="1" w:lastColumn="0" w:noHBand="0" w:noVBand="1"/>
      </w:tblPr>
      <w:tblGrid>
        <w:gridCol w:w="2849"/>
        <w:gridCol w:w="3055"/>
        <w:gridCol w:w="3055"/>
      </w:tblGrid>
      <w:tr w:rsidR="0066160E" w:rsidRPr="0066160E" w14:paraId="1EDC6F8C" w14:textId="77777777" w:rsidTr="0066160E">
        <w:tc>
          <w:tcPr>
            <w:tcW w:w="0" w:type="auto"/>
            <w:hideMark/>
          </w:tcPr>
          <w:p w14:paraId="6431BF81" w14:textId="77777777" w:rsidR="0066160E" w:rsidRPr="0066160E" w:rsidRDefault="0066160E" w:rsidP="0066160E">
            <w:pPr>
              <w:spacing w:after="160" w:line="278" w:lineRule="auto"/>
              <w:rPr>
                <w:b/>
                <w:bCs/>
              </w:rPr>
            </w:pPr>
            <w:r w:rsidRPr="0066160E">
              <w:rPr>
                <w:b/>
                <w:bCs/>
              </w:rPr>
              <w:t>Particulars</w:t>
            </w:r>
          </w:p>
        </w:tc>
        <w:tc>
          <w:tcPr>
            <w:tcW w:w="0" w:type="auto"/>
            <w:hideMark/>
          </w:tcPr>
          <w:p w14:paraId="638CAE40" w14:textId="0769F5A2" w:rsidR="0066160E" w:rsidRPr="0066160E" w:rsidRDefault="0066160E" w:rsidP="0066160E">
            <w:pPr>
              <w:spacing w:after="160" w:line="278" w:lineRule="auto"/>
              <w:jc w:val="right"/>
              <w:rPr>
                <w:b/>
                <w:bCs/>
              </w:rPr>
            </w:pPr>
            <w:r w:rsidRPr="0066160E">
              <w:rPr>
                <w:b/>
                <w:bCs/>
              </w:rPr>
              <w:t>Year ended March 31,</w:t>
            </w:r>
            <w:r w:rsidR="00D16228">
              <w:rPr>
                <w:b/>
                <w:bCs/>
              </w:rPr>
              <w:t>2024</w:t>
            </w:r>
          </w:p>
        </w:tc>
        <w:tc>
          <w:tcPr>
            <w:tcW w:w="0" w:type="auto"/>
            <w:hideMark/>
          </w:tcPr>
          <w:p w14:paraId="2705A6CB" w14:textId="00183240" w:rsidR="0066160E" w:rsidRPr="0066160E" w:rsidRDefault="0066160E" w:rsidP="0066160E">
            <w:pPr>
              <w:spacing w:after="160" w:line="278" w:lineRule="auto"/>
              <w:jc w:val="right"/>
              <w:rPr>
                <w:b/>
                <w:bCs/>
              </w:rPr>
            </w:pPr>
            <w:r w:rsidRPr="0066160E">
              <w:rPr>
                <w:b/>
                <w:bCs/>
              </w:rPr>
              <w:t>Year ended March 31,</w:t>
            </w:r>
            <w:r w:rsidR="00D16228">
              <w:rPr>
                <w:b/>
                <w:bCs/>
              </w:rPr>
              <w:t>2025</w:t>
            </w:r>
          </w:p>
        </w:tc>
      </w:tr>
      <w:tr w:rsidR="0066160E" w:rsidRPr="0066160E" w14:paraId="6B557DAB" w14:textId="77777777" w:rsidTr="0066160E">
        <w:tc>
          <w:tcPr>
            <w:tcW w:w="0" w:type="auto"/>
            <w:hideMark/>
          </w:tcPr>
          <w:p w14:paraId="09B01160" w14:textId="77777777" w:rsidR="0066160E" w:rsidRPr="0066160E" w:rsidRDefault="0066160E" w:rsidP="0066160E">
            <w:pPr>
              <w:spacing w:after="160" w:line="278" w:lineRule="auto"/>
            </w:pPr>
            <w:r w:rsidRPr="0066160E">
              <w:t>Revenue from Operations</w:t>
            </w:r>
          </w:p>
        </w:tc>
        <w:tc>
          <w:tcPr>
            <w:tcW w:w="0" w:type="auto"/>
            <w:hideMark/>
          </w:tcPr>
          <w:p w14:paraId="0A4C6C2B" w14:textId="77777777" w:rsidR="00F6497D" w:rsidRDefault="00A82327">
            <w:r>
              <w:t>{number-2}</w:t>
            </w:r>
          </w:p>
        </w:tc>
        <w:tc>
          <w:tcPr>
            <w:tcW w:w="0" w:type="auto"/>
            <w:hideMark/>
          </w:tcPr>
          <w:p w14:paraId="30DE5329" w14:textId="77777777" w:rsidR="00F6497D" w:rsidRDefault="00A82327">
            <w:r>
              <w:t>{number-3}</w:t>
            </w:r>
          </w:p>
        </w:tc>
      </w:tr>
      <w:tr w:rsidR="0066160E" w:rsidRPr="0066160E" w14:paraId="142ACAE6" w14:textId="77777777" w:rsidTr="0066160E">
        <w:tc>
          <w:tcPr>
            <w:tcW w:w="0" w:type="auto"/>
            <w:hideMark/>
          </w:tcPr>
          <w:p w14:paraId="49C308E0" w14:textId="77777777" w:rsidR="0066160E" w:rsidRPr="0066160E" w:rsidRDefault="0066160E" w:rsidP="0066160E">
            <w:pPr>
              <w:spacing w:after="160" w:line="278" w:lineRule="auto"/>
            </w:pPr>
            <w:r w:rsidRPr="0066160E">
              <w:t>Other Income</w:t>
            </w:r>
          </w:p>
        </w:tc>
        <w:tc>
          <w:tcPr>
            <w:tcW w:w="0" w:type="auto"/>
            <w:hideMark/>
          </w:tcPr>
          <w:p w14:paraId="5C2925CF" w14:textId="74E0ABC9" w:rsidR="00F6497D" w:rsidRDefault="00A82327">
            <w:r>
              <w:t>{number-4}</w:t>
            </w:r>
          </w:p>
        </w:tc>
        <w:tc>
          <w:tcPr>
            <w:tcW w:w="0" w:type="auto"/>
            <w:hideMark/>
          </w:tcPr>
          <w:p w14:paraId="319C4ED7" w14:textId="6A2B3647" w:rsidR="00F6497D" w:rsidRDefault="00A82327">
            <w:r>
              <w:t>{number-5}</w:t>
            </w:r>
          </w:p>
        </w:tc>
      </w:tr>
      <w:tr w:rsidR="0066160E" w:rsidRPr="0066160E" w14:paraId="440740D5" w14:textId="77777777" w:rsidTr="0066160E">
        <w:tc>
          <w:tcPr>
            <w:tcW w:w="0" w:type="auto"/>
            <w:hideMark/>
          </w:tcPr>
          <w:p w14:paraId="48B69473" w14:textId="77777777" w:rsidR="0066160E" w:rsidRPr="0066160E" w:rsidRDefault="0066160E" w:rsidP="0066160E">
            <w:pPr>
              <w:spacing w:after="160" w:line="278" w:lineRule="auto"/>
            </w:pPr>
            <w:r w:rsidRPr="0066160E">
              <w:t>Total Income</w:t>
            </w:r>
          </w:p>
        </w:tc>
        <w:tc>
          <w:tcPr>
            <w:tcW w:w="0" w:type="auto"/>
            <w:hideMark/>
          </w:tcPr>
          <w:p w14:paraId="5489635F" w14:textId="0F3DAE84" w:rsidR="00F6497D" w:rsidRDefault="00A82327">
            <w:r>
              <w:t>{calculation-1}</w:t>
            </w:r>
          </w:p>
        </w:tc>
        <w:tc>
          <w:tcPr>
            <w:tcW w:w="0" w:type="auto"/>
            <w:hideMark/>
          </w:tcPr>
          <w:p w14:paraId="35B6287A" w14:textId="5FD501E7" w:rsidR="00F6497D" w:rsidRDefault="00A82327">
            <w:r>
              <w:t>{calculation-2}</w:t>
            </w:r>
          </w:p>
        </w:tc>
      </w:tr>
      <w:tr w:rsidR="0066160E" w:rsidRPr="0066160E" w14:paraId="797F1672" w14:textId="77777777" w:rsidTr="0066160E">
        <w:tc>
          <w:tcPr>
            <w:tcW w:w="0" w:type="auto"/>
            <w:hideMark/>
          </w:tcPr>
          <w:p w14:paraId="654EF3C2" w14:textId="77777777" w:rsidR="0066160E" w:rsidRPr="0066160E" w:rsidRDefault="0066160E" w:rsidP="0066160E">
            <w:pPr>
              <w:spacing w:after="160" w:line="278" w:lineRule="auto"/>
            </w:pPr>
            <w:r w:rsidRPr="0066160E">
              <w:t>Total Expenditure</w:t>
            </w:r>
          </w:p>
        </w:tc>
        <w:tc>
          <w:tcPr>
            <w:tcW w:w="0" w:type="auto"/>
            <w:hideMark/>
          </w:tcPr>
          <w:p w14:paraId="283B988E" w14:textId="77777777" w:rsidR="00F6497D" w:rsidRDefault="00A82327">
            <w:r>
              <w:t>{number-6}</w:t>
            </w:r>
          </w:p>
        </w:tc>
        <w:tc>
          <w:tcPr>
            <w:tcW w:w="0" w:type="auto"/>
            <w:hideMark/>
          </w:tcPr>
          <w:p w14:paraId="115836F6" w14:textId="77777777" w:rsidR="00F6497D" w:rsidRDefault="00A82327">
            <w:r>
              <w:t>{number-7}</w:t>
            </w:r>
          </w:p>
        </w:tc>
      </w:tr>
      <w:tr w:rsidR="0066160E" w:rsidRPr="0066160E" w14:paraId="2B5053B3" w14:textId="77777777" w:rsidTr="0066160E">
        <w:tc>
          <w:tcPr>
            <w:tcW w:w="0" w:type="auto"/>
            <w:hideMark/>
          </w:tcPr>
          <w:p w14:paraId="1B8D1471" w14:textId="77777777" w:rsidR="0066160E" w:rsidRPr="0066160E" w:rsidRDefault="0066160E" w:rsidP="0066160E">
            <w:pPr>
              <w:spacing w:after="160" w:line="278" w:lineRule="auto"/>
            </w:pPr>
            <w:r w:rsidRPr="0066160E">
              <w:t>Profit Before Tax</w:t>
            </w:r>
          </w:p>
        </w:tc>
        <w:tc>
          <w:tcPr>
            <w:tcW w:w="0" w:type="auto"/>
            <w:hideMark/>
          </w:tcPr>
          <w:p w14:paraId="004137C3" w14:textId="77777777" w:rsidR="00F6497D" w:rsidRDefault="00A82327">
            <w:r>
              <w:t>{calculation-3}</w:t>
            </w:r>
          </w:p>
        </w:tc>
        <w:tc>
          <w:tcPr>
            <w:tcW w:w="0" w:type="auto"/>
            <w:hideMark/>
          </w:tcPr>
          <w:p w14:paraId="6104F6C0" w14:textId="77777777" w:rsidR="00F6497D" w:rsidRDefault="00A82327">
            <w:r>
              <w:t>{calculation-4}</w:t>
            </w:r>
          </w:p>
        </w:tc>
      </w:tr>
      <w:tr w:rsidR="0066160E" w:rsidRPr="0066160E" w14:paraId="726679D4" w14:textId="77777777" w:rsidTr="0066160E">
        <w:tc>
          <w:tcPr>
            <w:tcW w:w="0" w:type="auto"/>
            <w:hideMark/>
          </w:tcPr>
          <w:p w14:paraId="43A7C628" w14:textId="77777777" w:rsidR="0066160E" w:rsidRPr="0066160E" w:rsidRDefault="0066160E" w:rsidP="0066160E">
            <w:pPr>
              <w:spacing w:after="160" w:line="278" w:lineRule="auto"/>
            </w:pPr>
            <w:r w:rsidRPr="0066160E">
              <w:t>Less: Current Tax</w:t>
            </w:r>
          </w:p>
        </w:tc>
        <w:tc>
          <w:tcPr>
            <w:tcW w:w="0" w:type="auto"/>
            <w:hideMark/>
          </w:tcPr>
          <w:p w14:paraId="167B0576" w14:textId="09B6E877" w:rsidR="00F6497D" w:rsidRDefault="00A82327">
            <w:r>
              <w:t>{number-8}</w:t>
            </w:r>
          </w:p>
        </w:tc>
        <w:tc>
          <w:tcPr>
            <w:tcW w:w="0" w:type="auto"/>
            <w:hideMark/>
          </w:tcPr>
          <w:p w14:paraId="088D3C57" w14:textId="4900E623" w:rsidR="00F6497D" w:rsidRDefault="00A82327">
            <w:r>
              <w:t>{number-9}</w:t>
            </w:r>
          </w:p>
        </w:tc>
      </w:tr>
      <w:tr w:rsidR="0066160E" w:rsidRPr="0066160E" w14:paraId="77742DC7" w14:textId="77777777" w:rsidTr="0066160E">
        <w:tc>
          <w:tcPr>
            <w:tcW w:w="0" w:type="auto"/>
            <w:hideMark/>
          </w:tcPr>
          <w:p w14:paraId="605CA47D" w14:textId="77777777" w:rsidR="0066160E" w:rsidRPr="0066160E" w:rsidRDefault="0066160E" w:rsidP="0066160E">
            <w:pPr>
              <w:spacing w:after="160" w:line="278" w:lineRule="auto"/>
            </w:pPr>
            <w:r w:rsidRPr="0066160E">
              <w:t>Deferred Tax</w:t>
            </w:r>
          </w:p>
        </w:tc>
        <w:tc>
          <w:tcPr>
            <w:tcW w:w="0" w:type="auto"/>
            <w:hideMark/>
          </w:tcPr>
          <w:p w14:paraId="2D50791F" w14:textId="42899C70" w:rsidR="00F6497D" w:rsidRDefault="00A82327">
            <w:r>
              <w:t>{number-10}</w:t>
            </w:r>
          </w:p>
        </w:tc>
        <w:tc>
          <w:tcPr>
            <w:tcW w:w="0" w:type="auto"/>
            <w:hideMark/>
          </w:tcPr>
          <w:p w14:paraId="034377DA" w14:textId="344358B8" w:rsidR="00F6497D" w:rsidRDefault="00A82327">
            <w:r>
              <w:t>{number-11}</w:t>
            </w:r>
          </w:p>
        </w:tc>
      </w:tr>
      <w:tr w:rsidR="0066160E" w:rsidRPr="0066160E" w14:paraId="42E26C63" w14:textId="77777777" w:rsidTr="0066160E">
        <w:tc>
          <w:tcPr>
            <w:tcW w:w="0" w:type="auto"/>
            <w:hideMark/>
          </w:tcPr>
          <w:p w14:paraId="3F0D359C" w14:textId="77777777" w:rsidR="0066160E" w:rsidRPr="0066160E" w:rsidRDefault="0066160E" w:rsidP="0066160E">
            <w:pPr>
              <w:spacing w:after="160" w:line="278" w:lineRule="auto"/>
            </w:pPr>
            <w:r w:rsidRPr="0066160E">
              <w:t>Profit After Tax</w:t>
            </w:r>
          </w:p>
        </w:tc>
        <w:tc>
          <w:tcPr>
            <w:tcW w:w="0" w:type="auto"/>
            <w:hideMark/>
          </w:tcPr>
          <w:p w14:paraId="4E5994A6" w14:textId="77777777" w:rsidR="00F6497D" w:rsidRDefault="00A82327">
            <w:r>
              <w:t>{calculation-5}</w:t>
            </w:r>
          </w:p>
        </w:tc>
        <w:tc>
          <w:tcPr>
            <w:tcW w:w="0" w:type="auto"/>
            <w:hideMark/>
          </w:tcPr>
          <w:p w14:paraId="5DA895D2" w14:textId="77777777" w:rsidR="00F6497D" w:rsidRDefault="00A82327">
            <w:r>
              <w:t>{calculation-6}</w:t>
            </w:r>
          </w:p>
        </w:tc>
      </w:tr>
    </w:tbl>
    <w:p w14:paraId="35EF392E" w14:textId="27637A02" w:rsidR="007F312B" w:rsidRDefault="007F312B" w:rsidP="00532B2E">
      <w:pPr>
        <w:jc w:val="both"/>
      </w:pPr>
    </w:p>
    <w:p w14:paraId="2D96122A" w14:textId="77777777" w:rsidR="00632B52" w:rsidRDefault="00632B52" w:rsidP="00532B2E">
      <w:pPr>
        <w:jc w:val="both"/>
      </w:pPr>
    </w:p>
    <w:p w14:paraId="489EF1EC" w14:textId="77777777" w:rsidR="00632B52" w:rsidRDefault="00632B52" w:rsidP="00532B2E">
      <w:pPr>
        <w:jc w:val="both"/>
      </w:pPr>
    </w:p>
    <w:p w14:paraId="4F896231" w14:textId="77777777" w:rsidR="007B05FC" w:rsidRDefault="007B05FC" w:rsidP="00532B2E">
      <w:pPr>
        <w:jc w:val="both"/>
      </w:pPr>
    </w:p>
    <w:p w14:paraId="6FFBD89C" w14:textId="77777777" w:rsidR="007B05FC" w:rsidRPr="007F312B" w:rsidRDefault="007B05FC" w:rsidP="00532B2E">
      <w:pPr>
        <w:jc w:val="both"/>
      </w:pPr>
    </w:p>
    <w:p w14:paraId="35716624" w14:textId="77777777" w:rsidR="007F312B" w:rsidRPr="007F312B" w:rsidRDefault="007F312B" w:rsidP="00532B2E">
      <w:pPr>
        <w:jc w:val="both"/>
        <w:rPr>
          <w:b/>
          <w:bCs/>
        </w:rPr>
      </w:pPr>
      <w:r w:rsidRPr="007F312B">
        <w:rPr>
          <w:b/>
          <w:bCs/>
        </w:rPr>
        <w:lastRenderedPageBreak/>
        <w:t>2) State of Affairs / Highlights (Rule 8A(f))</w:t>
      </w:r>
    </w:p>
    <w:p w14:paraId="5A68310B" w14:textId="5EC82100" w:rsidR="007F312B" w:rsidRPr="007F312B" w:rsidRDefault="007F312B" w:rsidP="00532B2E">
      <w:pPr>
        <w:jc w:val="both"/>
      </w:pPr>
      <w:r>
        <w:t>a) Business activity: The Company is engaged in the business of {textarea-1}.</w:t>
      </w:r>
    </w:p>
    <w:p w14:paraId="6A2E5526" w14:textId="77777777" w:rsidR="007F312B" w:rsidRPr="007F312B" w:rsidRDefault="007F312B" w:rsidP="00532B2E">
      <w:pPr>
        <w:jc w:val="both"/>
      </w:pPr>
      <w:r w:rsidRPr="007F312B">
        <w:rPr>
          <w:b/>
          <w:bCs/>
        </w:rPr>
        <w:t>b) Business changes:</w:t>
      </w:r>
      <w:r w:rsidRPr="007F312B">
        <w:t xml:space="preserve"> There has been no change in the nature of business during the year.</w:t>
      </w:r>
    </w:p>
    <w:p w14:paraId="1AF6A811" w14:textId="21B22619" w:rsidR="00DD4B9B" w:rsidRDefault="007F312B" w:rsidP="00532B2E">
      <w:pPr>
        <w:jc w:val="both"/>
      </w:pPr>
      <w:r>
        <w:t xml:space="preserve">c) Financial highlights &amp; Outlook: During the year under review, the Company achieved a total revenue of ₹ {calculation-2} as against ₹ {calculation-1} in the previous financial year. </w:t>
      </w:r>
    </w:p>
    <w:p w14:paraId="5A3901B7" w14:textId="77777777" w:rsidR="007914D4" w:rsidRDefault="007914D4" w:rsidP="007914D4">
      <w:pPr>
        <w:jc w:val="both"/>
      </w:pPr>
      <w:r>
        <w:t>Revenue Comparison:</w:t>
      </w:r>
    </w:p>
    <w:p w14:paraId="60A64854" w14:textId="5803A411" w:rsidR="007914D4" w:rsidRDefault="007914D4" w:rsidP="007914D4">
      <w:pPr>
        <w:jc w:val="center"/>
      </w:pPr>
      <w:r>
        <w:t>{{</w:t>
      </w:r>
      <w:proofErr w:type="spellStart"/>
      <w:r>
        <w:t>RevenueGraph</w:t>
      </w:r>
      <w:proofErr w:type="spellEnd"/>
      <w:r>
        <w:t>}}</w:t>
      </w:r>
    </w:p>
    <w:p w14:paraId="0E859110" w14:textId="0BCBD15E" w:rsidR="007F312B" w:rsidRDefault="007F312B" w:rsidP="00532B2E">
      <w:pPr>
        <w:jc w:val="both"/>
      </w:pPr>
      <w:r>
        <w:t>The Profit after Tax (PAT) for the year stood at ₹ {calculation-6} compared to ₹ {calculation-5} in the previous year. Going forward, the Company expects to improve its performance with focus on growth opportunities and operational efficiency.</w:t>
      </w:r>
    </w:p>
    <w:p w14:paraId="74D75F10" w14:textId="77777777" w:rsidR="007914D4" w:rsidRDefault="007914D4" w:rsidP="007914D4">
      <w:pPr>
        <w:jc w:val="both"/>
      </w:pPr>
      <w:r>
        <w:t>PAT Comparison:</w:t>
      </w:r>
    </w:p>
    <w:p w14:paraId="778B0C54" w14:textId="0566E80B" w:rsidR="007914D4" w:rsidRPr="007F312B" w:rsidRDefault="007914D4" w:rsidP="007914D4">
      <w:pPr>
        <w:jc w:val="center"/>
      </w:pPr>
      <w:r>
        <w:t>{{</w:t>
      </w:r>
      <w:proofErr w:type="spellStart"/>
      <w:r>
        <w:t>PATGraph</w:t>
      </w:r>
      <w:proofErr w:type="spellEnd"/>
      <w:r>
        <w:t>}}</w:t>
      </w:r>
    </w:p>
    <w:p w14:paraId="5F94B249" w14:textId="77777777" w:rsidR="007F312B" w:rsidRPr="007F312B" w:rsidRDefault="007F312B" w:rsidP="00532B2E">
      <w:pPr>
        <w:jc w:val="both"/>
        <w:rPr>
          <w:b/>
          <w:bCs/>
        </w:rPr>
      </w:pPr>
      <w:r w:rsidRPr="007F312B">
        <w:rPr>
          <w:b/>
          <w:bCs/>
        </w:rPr>
        <w:t>3) Web link of Annual Return (Rule 8A(a) &amp; Sec. 92(3))</w:t>
      </w:r>
    </w:p>
    <w:p w14:paraId="6688855E" w14:textId="67DA7600" w:rsidR="007F312B" w:rsidRPr="007F312B" w:rsidRDefault="007F312B" w:rsidP="00532B2E">
      <w:pPr>
        <w:jc w:val="both"/>
      </w:pPr>
      <w:r>
        <w:t>Pursuant to Section 92(3) of the Companies Act, 2013, the Annual Return for the financial year ended March 31,2025, is available at {url-1} or {address-1}.</w:t>
      </w:r>
    </w:p>
    <w:p w14:paraId="1E7141BD" w14:textId="05850FE8" w:rsidR="007F312B" w:rsidRPr="007F312B" w:rsidRDefault="000803C6" w:rsidP="00532B2E">
      <w:pPr>
        <w:jc w:val="both"/>
      </w:pPr>
      <w:r>
        <w:t>A</w:t>
      </w:r>
      <w:r w:rsidR="007F312B" w:rsidRPr="007F312B">
        <w:t xml:space="preserve"> copy of the Annual Return </w:t>
      </w:r>
      <w:r w:rsidR="00FB04A0">
        <w:t>is</w:t>
      </w:r>
      <w:r w:rsidR="007F312B" w:rsidRPr="007F312B">
        <w:t xml:space="preserve"> available for inspection at the Registered Office of the Company during business hours.</w:t>
      </w:r>
    </w:p>
    <w:p w14:paraId="163E7F6E" w14:textId="77777777" w:rsidR="007F312B" w:rsidRPr="007F312B" w:rsidRDefault="007F312B" w:rsidP="00532B2E">
      <w:pPr>
        <w:jc w:val="both"/>
        <w:rPr>
          <w:b/>
          <w:bCs/>
        </w:rPr>
      </w:pPr>
      <w:r w:rsidRPr="007F312B">
        <w:rPr>
          <w:b/>
          <w:bCs/>
        </w:rPr>
        <w:t>4) Meetings of the Board (Rule 8A(b))</w:t>
      </w:r>
    </w:p>
    <w:p w14:paraId="76AB4AA4" w14:textId="0EFD6C0A" w:rsidR="007F312B" w:rsidRPr="007F312B" w:rsidRDefault="007F312B" w:rsidP="0070026A">
      <w:pPr>
        <w:jc w:val="both"/>
      </w:pPr>
      <w:r>
        <w:t>During the year under review, {number-14} Meetings of the Board of Directors were held on {% for m in BoardMeetings %} {{m.Date}}{% if not loop.last %}, {% endif %} {% endfor %}. The maximum gap between any two meetings did not exceed 120 days, in compliance with the Companies Act, 2013.</w:t>
      </w:r>
    </w:p>
    <w:p w14:paraId="78245613" w14:textId="77777777" w:rsidR="00BE4621" w:rsidRPr="00BE4621" w:rsidRDefault="00BE4621" w:rsidP="00BE4621">
      <w:pPr>
        <w:jc w:val="both"/>
        <w:rPr>
          <w:b/>
          <w:bCs/>
        </w:rPr>
      </w:pPr>
      <w:r w:rsidRPr="00BE4621">
        <w:rPr>
          <w:b/>
          <w:bCs/>
        </w:rPr>
        <w:t xml:space="preserve">{% for </w:t>
      </w:r>
      <w:proofErr w:type="spellStart"/>
      <w:r w:rsidRPr="00BE4621">
        <w:rPr>
          <w:b/>
          <w:bCs/>
        </w:rPr>
        <w:t>d in</w:t>
      </w:r>
      <w:proofErr w:type="spellEnd"/>
      <w:r w:rsidRPr="00BE4621">
        <w:rPr>
          <w:b/>
          <w:bCs/>
        </w:rPr>
        <w:t xml:space="preserve"> Directors %}</w:t>
      </w:r>
    </w:p>
    <w:p w14:paraId="25070B7E" w14:textId="77777777" w:rsidR="00BE4621" w:rsidRPr="00BE4621" w:rsidRDefault="00BE4621" w:rsidP="00BE4621">
      <w:pPr>
        <w:jc w:val="both"/>
        <w:rPr>
          <w:b/>
          <w:bCs/>
        </w:rPr>
      </w:pPr>
      <w:r>
        <w:t>{{</w:t>
      </w:r>
      <w:proofErr w:type="spellStart"/>
      <w:r>
        <w:t>d.Name</w:t>
      </w:r>
      <w:proofErr w:type="spellEnd"/>
      <w:r>
        <w:t>}}   {{</w:t>
      </w:r>
      <w:proofErr w:type="spellStart"/>
      <w:r>
        <w:t>d.DIN</w:t>
      </w:r>
      <w:proofErr w:type="spellEnd"/>
      <w:r>
        <w:t>}}   {{</w:t>
      </w:r>
      <w:proofErr w:type="spellStart"/>
      <w:r>
        <w:t>d.Designation</w:t>
      </w:r>
      <w:proofErr w:type="spellEnd"/>
      <w:r>
        <w:t>}}   {{</w:t>
      </w:r>
      <w:proofErr w:type="spellStart"/>
      <w:r>
        <w:t>d.MeetingsAttended</w:t>
      </w:r>
      <w:proofErr w:type="spellEnd"/>
      <w:r>
        <w:t>}} / {{</w:t>
      </w:r>
      <w:proofErr w:type="spellStart"/>
      <w:r>
        <w:t>TotalMeetingsHeld</w:t>
      </w:r>
      <w:proofErr w:type="spellEnd"/>
      <w:r>
        <w:t>}}</w:t>
      </w:r>
    </w:p>
    <w:p w14:paraId="37E3D549" w14:textId="1A50AC87" w:rsidR="00152CFA" w:rsidRDefault="00BE4621" w:rsidP="00BE4621">
      <w:pPr>
        <w:jc w:val="both"/>
        <w:rPr>
          <w:b/>
          <w:bCs/>
        </w:rPr>
      </w:pPr>
      <w:r w:rsidRPr="00BE4621">
        <w:rPr>
          <w:b/>
          <w:bCs/>
        </w:rPr>
        <w:t xml:space="preserve">{% </w:t>
      </w:r>
      <w:proofErr w:type="spellStart"/>
      <w:r w:rsidRPr="00BE4621">
        <w:rPr>
          <w:b/>
          <w:bCs/>
        </w:rPr>
        <w:t>endfor</w:t>
      </w:r>
      <w:proofErr w:type="spellEnd"/>
      <w:r w:rsidRPr="00BE4621">
        <w:rPr>
          <w:b/>
          <w:bCs/>
        </w:rPr>
        <w:t xml:space="preserve"> %}</w:t>
      </w:r>
    </w:p>
    <w:p w14:paraId="524B3DC7" w14:textId="78DBDCC0" w:rsidR="007F312B" w:rsidRPr="007F312B" w:rsidRDefault="007F312B" w:rsidP="00152CFA">
      <w:pPr>
        <w:jc w:val="both"/>
      </w:pPr>
      <w:r w:rsidRPr="007F312B">
        <w:rPr>
          <w:b/>
          <w:bCs/>
        </w:rPr>
        <w:t>Secretarial Standards:</w:t>
      </w:r>
      <w:r w:rsidR="00152CFA">
        <w:rPr>
          <w:b/>
          <w:bCs/>
        </w:rPr>
        <w:t xml:space="preserve"> </w:t>
      </w:r>
      <w:r w:rsidRPr="007F312B">
        <w:t>The Company has complied with the applicable Secretarial Standards issued by the Institute of Company Secretaries of India (ICSI), namely SS-1 on Meetings of the Board of Directors and SS-2 on General Meetings.</w:t>
      </w:r>
    </w:p>
    <w:p w14:paraId="7DBFEDCB" w14:textId="77777777" w:rsidR="007F312B" w:rsidRPr="007F312B" w:rsidRDefault="007F312B" w:rsidP="00532B2E">
      <w:pPr>
        <w:jc w:val="both"/>
        <w:rPr>
          <w:b/>
          <w:bCs/>
        </w:rPr>
      </w:pPr>
      <w:r w:rsidRPr="007F312B">
        <w:rPr>
          <w:b/>
          <w:bCs/>
        </w:rPr>
        <w:t>5) Directors’ Responsibility Statement (Rule 8A(c) read with Sec. 134(5))</w:t>
      </w:r>
    </w:p>
    <w:p w14:paraId="471279DC" w14:textId="77777777" w:rsidR="007F312B" w:rsidRPr="007F312B" w:rsidRDefault="007F312B" w:rsidP="00532B2E">
      <w:pPr>
        <w:jc w:val="both"/>
      </w:pPr>
      <w:r w:rsidRPr="007F312B">
        <w:lastRenderedPageBreak/>
        <w:t>Pursuant to Section 134(5) of the Companies Act, 2013 (“the Act”), your Directors confirm that:</w:t>
      </w:r>
    </w:p>
    <w:p w14:paraId="2AD9C32A" w14:textId="77777777" w:rsidR="007F312B" w:rsidRPr="007F312B" w:rsidRDefault="007F312B" w:rsidP="00E74084">
      <w:r w:rsidRPr="007F312B">
        <w:t>a) Applicable accounting standards have been followed and there are no material departures.</w:t>
      </w:r>
      <w:r w:rsidRPr="007F312B">
        <w:br/>
        <w:t>b) Accounting policies were selected and applied consistently and judgments and estimates were reasonable and prudent to present a true and fair view of the affairs and profit/loss of the Company.</w:t>
      </w:r>
      <w:r w:rsidRPr="007F312B">
        <w:br/>
        <w:t>c) Adequate accounting records have been maintained for safeguarding the assets of the Company and for preventing and detecting fraud and other irregularities.</w:t>
      </w:r>
      <w:r w:rsidRPr="007F312B">
        <w:br/>
        <w:t>d) The annual financial statements have been prepared on a going concern basis.</w:t>
      </w:r>
      <w:r w:rsidRPr="007F312B">
        <w:br/>
        <w:t>e) The Directors have laid down internal financial controls to be followed by the Company and that such internal financial controls were adequate and operating effectively during the year.</w:t>
      </w:r>
      <w:r w:rsidRPr="007F312B">
        <w:br/>
        <w:t>f) The Directors have devised proper systems to ensure compliance with applicable laws and that such systems were adequate and operating effectively.</w:t>
      </w:r>
    </w:p>
    <w:p w14:paraId="28206BC1" w14:textId="77777777" w:rsidR="007F312B" w:rsidRPr="007F312B" w:rsidRDefault="007F312B" w:rsidP="00532B2E">
      <w:pPr>
        <w:jc w:val="both"/>
        <w:rPr>
          <w:b/>
          <w:bCs/>
        </w:rPr>
      </w:pPr>
      <w:r w:rsidRPr="007F312B">
        <w:rPr>
          <w:b/>
          <w:bCs/>
        </w:rPr>
        <w:t>6) Auditors’ Report – Board’s Comments (Rule 8A(e))</w:t>
      </w:r>
    </w:p>
    <w:p w14:paraId="7ED2870D" w14:textId="77777777" w:rsidR="007F312B" w:rsidRPr="007F312B" w:rsidRDefault="007F312B" w:rsidP="00532B2E">
      <w:pPr>
        <w:jc w:val="both"/>
      </w:pPr>
      <w:r w:rsidRPr="007F312B">
        <w:t>The Statutory Auditors’ Report on the financial statements for the year under review does not contain any qualification, reservation, adverse remark, or disclaimer, and the notes to accounts are self-explanatory.</w:t>
      </w:r>
    </w:p>
    <w:p w14:paraId="634D2A27" w14:textId="77777777" w:rsidR="007F312B" w:rsidRPr="007F312B" w:rsidRDefault="007F312B" w:rsidP="00532B2E">
      <w:pPr>
        <w:jc w:val="both"/>
        <w:rPr>
          <w:b/>
          <w:bCs/>
        </w:rPr>
      </w:pPr>
      <w:r w:rsidRPr="007F312B">
        <w:rPr>
          <w:b/>
          <w:bCs/>
        </w:rPr>
        <w:t>7) Fraud Reporting (Rule 8A(d))</w:t>
      </w:r>
    </w:p>
    <w:p w14:paraId="2256F369" w14:textId="77777777" w:rsidR="007F312B" w:rsidRPr="007F312B" w:rsidRDefault="007F312B" w:rsidP="00532B2E">
      <w:pPr>
        <w:jc w:val="both"/>
      </w:pPr>
      <w:r w:rsidRPr="007F312B">
        <w:t>During the year, the Statutory Auditors have not reported any instances of fraud by officers or employees of the Company under Section 143(12) of the Companies Act, 2013.</w:t>
      </w:r>
    </w:p>
    <w:p w14:paraId="238A4D52" w14:textId="77777777" w:rsidR="007F312B" w:rsidRPr="007F312B" w:rsidRDefault="007F312B" w:rsidP="00532B2E">
      <w:pPr>
        <w:jc w:val="both"/>
        <w:rPr>
          <w:b/>
          <w:bCs/>
        </w:rPr>
      </w:pPr>
      <w:r w:rsidRPr="007F312B">
        <w:rPr>
          <w:b/>
          <w:bCs/>
        </w:rPr>
        <w:t>8) Changes in Directors / KMP (Rule 8A(</w:t>
      </w:r>
      <w:proofErr w:type="spellStart"/>
      <w:r w:rsidRPr="007F312B">
        <w:rPr>
          <w:b/>
          <w:bCs/>
        </w:rPr>
        <w:t>i</w:t>
      </w:r>
      <w:proofErr w:type="spellEnd"/>
      <w:r w:rsidRPr="007F312B">
        <w:rPr>
          <w:b/>
          <w:bCs/>
        </w:rPr>
        <w:t>) read with Sec. 134(3))</w:t>
      </w:r>
    </w:p>
    <w:p w14:paraId="3BB26F13" w14:textId="77777777" w:rsidR="007F312B" w:rsidRPr="007F312B" w:rsidRDefault="007F312B" w:rsidP="00532B2E">
      <w:pPr>
        <w:jc w:val="both"/>
      </w:pPr>
      <w:r w:rsidRPr="007F312B">
        <w:rPr>
          <w:b/>
          <w:bCs/>
        </w:rPr>
        <w:t>Changes during the year:</w:t>
      </w:r>
    </w:p>
    <w:p w14:paraId="385EF6F1" w14:textId="77777777" w:rsidR="006E7397" w:rsidRDefault="00717F0A" w:rsidP="006E7397">
      <w:pPr>
        <w:jc w:val="both"/>
      </w:pPr>
      <w:r>
        <w:t>{radio-1}</w:t>
      </w:r>
    </w:p>
    <w:p w14:paraId="1DFCE583" w14:textId="33D61E8E" w:rsidR="007F312B" w:rsidRDefault="007F312B" w:rsidP="006E7397">
      <w:pPr>
        <w:jc w:val="both"/>
      </w:pPr>
      <w:r w:rsidRPr="007F312B">
        <w:rPr>
          <w:b/>
          <w:bCs/>
        </w:rPr>
        <w:t>Composition as at 31-Mar-2025:</w:t>
      </w:r>
      <w:r w:rsidRPr="007F312B">
        <w:t xml:space="preserve"> </w:t>
      </w:r>
    </w:p>
    <w:p w14:paraId="6A971EE8" w14:textId="77777777" w:rsidR="00AB2DD4" w:rsidRDefault="00AB2DD4" w:rsidP="00AB2DD4">
      <w:pPr>
        <w:jc w:val="both"/>
      </w:pPr>
      <w:r>
        <w:t xml:space="preserve">{% for </w:t>
      </w:r>
      <w:proofErr w:type="spellStart"/>
      <w:r>
        <w:t>d in</w:t>
      </w:r>
      <w:proofErr w:type="spellEnd"/>
      <w:r>
        <w:t xml:space="preserve"> Directors %}</w:t>
      </w:r>
    </w:p>
    <w:p w14:paraId="42899C66" w14:textId="77777777" w:rsidR="00AB2DD4" w:rsidRDefault="00AB2DD4" w:rsidP="00AB2DD4">
      <w:pPr>
        <w:jc w:val="both"/>
      </w:pPr>
      <w:r>
        <w:t>{{</w:t>
      </w:r>
      <w:proofErr w:type="spellStart"/>
      <w:r>
        <w:t>d.Name</w:t>
      </w:r>
      <w:proofErr w:type="spellEnd"/>
      <w:r>
        <w:t>}}   {{</w:t>
      </w:r>
      <w:proofErr w:type="spellStart"/>
      <w:r>
        <w:t>d.DIN</w:t>
      </w:r>
      <w:proofErr w:type="spellEnd"/>
      <w:r>
        <w:t>}}   {{</w:t>
      </w:r>
      <w:proofErr w:type="spellStart"/>
      <w:r>
        <w:t>d.Designation</w:t>
      </w:r>
      <w:proofErr w:type="spellEnd"/>
      <w:r>
        <w:t>}}   {{</w:t>
      </w:r>
      <w:proofErr w:type="spellStart"/>
      <w:r>
        <w:t>d.Changes</w:t>
      </w:r>
      <w:proofErr w:type="spellEnd"/>
      <w:r>
        <w:t>}}</w:t>
      </w:r>
    </w:p>
    <w:p w14:paraId="39D0076F" w14:textId="3441C108" w:rsidR="00035A78" w:rsidRDefault="00AB2DD4" w:rsidP="00AB2DD4">
      <w:pPr>
        <w:jc w:val="both"/>
      </w:pPr>
      <w:r>
        <w:t xml:space="preserve">{% </w:t>
      </w:r>
      <w:proofErr w:type="spellStart"/>
      <w:r>
        <w:t>endfor</w:t>
      </w:r>
      <w:proofErr w:type="spellEnd"/>
      <w:r>
        <w:t xml:space="preserve"> %}</w:t>
      </w:r>
    </w:p>
    <w:p w14:paraId="623E3808" w14:textId="77777777" w:rsidR="007F312B" w:rsidRPr="007F312B" w:rsidRDefault="007F312B" w:rsidP="00532B2E">
      <w:pPr>
        <w:jc w:val="both"/>
      </w:pPr>
      <w:r w:rsidRPr="007F312B">
        <w:rPr>
          <w:i/>
          <w:iCs/>
        </w:rPr>
        <w:t>Small companies do not require independent directors, CSR committee, NRC, etc., unless triggered by other thresholds.</w:t>
      </w:r>
    </w:p>
    <w:p w14:paraId="5F51E427" w14:textId="77777777" w:rsidR="007F312B" w:rsidRPr="007F312B" w:rsidRDefault="007F312B" w:rsidP="00532B2E">
      <w:pPr>
        <w:jc w:val="both"/>
        <w:rPr>
          <w:b/>
          <w:bCs/>
        </w:rPr>
      </w:pPr>
      <w:r w:rsidRPr="007F312B">
        <w:rPr>
          <w:b/>
          <w:bCs/>
        </w:rPr>
        <w:lastRenderedPageBreak/>
        <w:t>9) Significant &amp; Material Orders (Rule 8A(j))</w:t>
      </w:r>
    </w:p>
    <w:p w14:paraId="63AA8F12" w14:textId="77777777" w:rsidR="007F312B" w:rsidRPr="007F312B" w:rsidRDefault="007F312B" w:rsidP="00384F89">
      <w:pPr>
        <w:jc w:val="both"/>
      </w:pPr>
      <w:r w:rsidRPr="007F312B">
        <w:t>No significant or material order has been passed by the regulators/courts/tribunals impacting the going concern status or the Company’s future operations.</w:t>
      </w:r>
    </w:p>
    <w:p w14:paraId="206D4B37" w14:textId="77777777" w:rsidR="007F312B" w:rsidRPr="007F312B" w:rsidRDefault="007F312B" w:rsidP="00532B2E">
      <w:pPr>
        <w:jc w:val="both"/>
        <w:rPr>
          <w:b/>
          <w:bCs/>
        </w:rPr>
      </w:pPr>
      <w:r w:rsidRPr="007F312B">
        <w:rPr>
          <w:b/>
          <w:bCs/>
        </w:rPr>
        <w:t>10) Related Party Transactions (RPTs) (Sec. 188 &amp; Sec. 134(3)(h) read with Rule 8(2))</w:t>
      </w:r>
    </w:p>
    <w:p w14:paraId="2DBC4FFB" w14:textId="43ED98C3" w:rsidR="007F312B" w:rsidRPr="007F312B" w:rsidRDefault="007F312B" w:rsidP="005225F7">
      <w:pPr>
        <w:jc w:val="both"/>
      </w:pPr>
      <w:r w:rsidRPr="007F312B">
        <w:t>During</w:t>
      </w:r>
      <w:r w:rsidR="007734E1">
        <w:t xml:space="preserve"> </w:t>
      </w:r>
      <w:r w:rsidRPr="007F312B">
        <w:t>the year, the Company did not enter into</w:t>
      </w:r>
      <w:r w:rsidR="007734E1">
        <w:t xml:space="preserve"> </w:t>
      </w:r>
      <w:r w:rsidR="00384F89">
        <w:t>any c</w:t>
      </w:r>
      <w:r w:rsidRPr="007F312B">
        <w:t>ontracts/arrangements/transactions with related parties which were not at arm’s length or not in the ordinary course of business.</w:t>
      </w:r>
      <w:r w:rsidR="004B087B">
        <w:t xml:space="preserve"> </w:t>
      </w:r>
      <w:r w:rsidRPr="007F312B">
        <w:t>Accordingly, the disclosure in Form AOC-2 is not required.</w:t>
      </w:r>
    </w:p>
    <w:p w14:paraId="58349121" w14:textId="236FA2A7" w:rsidR="007F312B" w:rsidRPr="00B07D08" w:rsidRDefault="007F312B" w:rsidP="005225F7">
      <w:pPr>
        <w:jc w:val="both"/>
        <w:rPr>
          <w:b/>
          <w:bCs/>
        </w:rPr>
      </w:pPr>
      <w:r w:rsidRPr="00B07D08">
        <w:rPr>
          <w:b/>
          <w:bCs/>
        </w:rPr>
        <w:t xml:space="preserve">11) Loans, Guarantees &amp; Investments (Sec. 186 </w:t>
      </w:r>
      <w:r w:rsidR="00147728">
        <w:rPr>
          <w:b/>
          <w:bCs/>
        </w:rPr>
        <w:t>of Companies Act 2013</w:t>
      </w:r>
      <w:r w:rsidRPr="00B07D08">
        <w:rPr>
          <w:b/>
          <w:bCs/>
        </w:rPr>
        <w:t>)</w:t>
      </w:r>
    </w:p>
    <w:p w14:paraId="73B08543" w14:textId="77777777" w:rsidR="007F312B" w:rsidRPr="007F312B" w:rsidRDefault="007F312B" w:rsidP="005225F7">
      <w:pPr>
        <w:jc w:val="both"/>
      </w:pPr>
      <w:r w:rsidRPr="007F312B">
        <w:t>Loans given – None during the year.</w:t>
      </w:r>
    </w:p>
    <w:p w14:paraId="55F55938" w14:textId="77777777" w:rsidR="007F312B" w:rsidRPr="007F312B" w:rsidRDefault="007F312B" w:rsidP="005225F7">
      <w:pPr>
        <w:jc w:val="both"/>
      </w:pPr>
      <w:r w:rsidRPr="007F312B">
        <w:t>Guarantees given – None during the year.</w:t>
      </w:r>
    </w:p>
    <w:p w14:paraId="406C992D" w14:textId="77777777" w:rsidR="007F312B" w:rsidRPr="007F312B" w:rsidRDefault="007F312B" w:rsidP="005225F7">
      <w:pPr>
        <w:jc w:val="both"/>
      </w:pPr>
      <w:r w:rsidRPr="007F312B">
        <w:t>Investments made – None during the year.</w:t>
      </w:r>
    </w:p>
    <w:p w14:paraId="44CFE707" w14:textId="77777777" w:rsidR="007F312B" w:rsidRPr="007F312B" w:rsidRDefault="007F312B" w:rsidP="00B42F63">
      <w:pPr>
        <w:jc w:val="both"/>
        <w:rPr>
          <w:b/>
          <w:bCs/>
        </w:rPr>
      </w:pPr>
      <w:r w:rsidRPr="007F312B">
        <w:rPr>
          <w:b/>
          <w:bCs/>
        </w:rPr>
        <w:t>12) Dividend, Reserves &amp; Unpaid/IEPF</w:t>
      </w:r>
    </w:p>
    <w:p w14:paraId="76DEE3BD" w14:textId="38CDF587" w:rsidR="007F312B" w:rsidRPr="007F312B" w:rsidRDefault="007F312B" w:rsidP="00F620CE">
      <w:pPr>
        <w:pStyle w:val="ListParagraph"/>
        <w:numPr>
          <w:ilvl w:val="0"/>
          <w:numId w:val="32"/>
        </w:numPr>
        <w:jc w:val="both"/>
      </w:pPr>
      <w:r w:rsidRPr="00F620CE">
        <w:rPr>
          <w:b/>
          <w:bCs/>
        </w:rPr>
        <w:t>Dividend:</w:t>
      </w:r>
      <w:r w:rsidRPr="007F312B">
        <w:t xml:space="preserve"> The Board does not recommend any dividend for FY</w:t>
      </w:r>
      <w:r w:rsidR="00D16228">
        <w:t>2024</w:t>
      </w:r>
      <w:r w:rsidR="009363CD">
        <w:t>-25.</w:t>
      </w:r>
    </w:p>
    <w:p w14:paraId="5FD3AE96" w14:textId="77777777" w:rsidR="007F312B" w:rsidRPr="007F312B" w:rsidRDefault="007F312B" w:rsidP="00F620CE">
      <w:pPr>
        <w:pStyle w:val="ListParagraph"/>
        <w:numPr>
          <w:ilvl w:val="0"/>
          <w:numId w:val="32"/>
        </w:numPr>
        <w:jc w:val="both"/>
      </w:pPr>
      <w:r w:rsidRPr="00F620CE">
        <w:rPr>
          <w:b/>
          <w:bCs/>
        </w:rPr>
        <w:t>Transfer to reserves:</w:t>
      </w:r>
      <w:r w:rsidRPr="007F312B">
        <w:t xml:space="preserve"> The Company has not transferred any amount to the General Reserve during the financial year.</w:t>
      </w:r>
    </w:p>
    <w:p w14:paraId="56DDA41B" w14:textId="77777777" w:rsidR="007F312B" w:rsidRPr="007F312B" w:rsidRDefault="007F312B" w:rsidP="00F620CE">
      <w:pPr>
        <w:pStyle w:val="ListParagraph"/>
        <w:numPr>
          <w:ilvl w:val="0"/>
          <w:numId w:val="32"/>
        </w:numPr>
        <w:jc w:val="both"/>
      </w:pPr>
      <w:r w:rsidRPr="00F620CE">
        <w:rPr>
          <w:b/>
          <w:bCs/>
        </w:rPr>
        <w:t>Unpaid/Unclaimed dividend &amp; IEPF:</w:t>
      </w:r>
      <w:r w:rsidRPr="007F312B">
        <w:t xml:space="preserve"> NIL balances and no transfers to IEPF during the year.</w:t>
      </w:r>
    </w:p>
    <w:p w14:paraId="25F03501" w14:textId="77777777" w:rsidR="007F312B" w:rsidRPr="007F312B" w:rsidRDefault="007F312B" w:rsidP="00532B2E">
      <w:pPr>
        <w:jc w:val="both"/>
        <w:rPr>
          <w:b/>
          <w:bCs/>
        </w:rPr>
      </w:pPr>
      <w:r w:rsidRPr="007F312B">
        <w:rPr>
          <w:b/>
          <w:bCs/>
        </w:rPr>
        <w:t>13) Deposits (Chapter V)</w:t>
      </w:r>
    </w:p>
    <w:p w14:paraId="0B2E1D04" w14:textId="77777777" w:rsidR="007F312B" w:rsidRPr="007F312B" w:rsidRDefault="007F312B" w:rsidP="00532B2E">
      <w:pPr>
        <w:jc w:val="both"/>
      </w:pPr>
      <w:r w:rsidRPr="007F312B">
        <w:t>The Company has not accepted any deposits covered under Sections 73 to 76 during the year.</w:t>
      </w:r>
    </w:p>
    <w:p w14:paraId="5E3B5983" w14:textId="77777777" w:rsidR="007F312B" w:rsidRPr="007F312B" w:rsidRDefault="007F312B" w:rsidP="00532B2E">
      <w:pPr>
        <w:jc w:val="both"/>
        <w:rPr>
          <w:b/>
          <w:bCs/>
        </w:rPr>
      </w:pPr>
      <w:r w:rsidRPr="007F312B">
        <w:rPr>
          <w:b/>
          <w:bCs/>
        </w:rPr>
        <w:t>14) Statutory Auditors</w:t>
      </w:r>
    </w:p>
    <w:p w14:paraId="25E5CFAF" w14:textId="36B98A66" w:rsidR="007F312B" w:rsidRPr="007F312B" w:rsidRDefault="007F312B" w:rsidP="00583BEA">
      <w:pPr>
        <w:pStyle w:val="ListParagraph"/>
        <w:numPr>
          <w:ilvl w:val="0"/>
          <w:numId w:val="48"/>
        </w:numPr>
        <w:jc w:val="both"/>
      </w:pPr>
      <w:r>
        <w:t>M/s. {name-10}, Chartered Accountants (FRN: {name-11}) were appointed as the Statutory Auditors of the Company for a term of five years, to hold office till the conclusion of the {{StatutoryAuditorappointedupto}} AGM, in accordance with Section 139 of the Companies Act, 2013.</w:t>
      </w:r>
    </w:p>
    <w:p w14:paraId="7C5D35ED" w14:textId="77777777" w:rsidR="007F312B" w:rsidRDefault="007F312B" w:rsidP="00583BEA">
      <w:pPr>
        <w:pStyle w:val="ListParagraph"/>
        <w:numPr>
          <w:ilvl w:val="0"/>
          <w:numId w:val="48"/>
        </w:numPr>
        <w:jc w:val="both"/>
      </w:pPr>
      <w:r w:rsidRPr="007F312B">
        <w:t>The Auditors have confirmed that they continue to satisfy the eligibility criteria prescribed under Sections 139 and 141 of the Act.</w:t>
      </w:r>
    </w:p>
    <w:p w14:paraId="24D15389" w14:textId="65B597EC" w:rsidR="001F2301" w:rsidRPr="007F312B" w:rsidRDefault="003634DD" w:rsidP="00583BEA">
      <w:pPr>
        <w:pStyle w:val="ListParagraph"/>
        <w:numPr>
          <w:ilvl w:val="0"/>
          <w:numId w:val="48"/>
        </w:numPr>
        <w:jc w:val="both"/>
      </w:pPr>
      <w:r>
        <w:t>In case the tenure of the statutory auditors are expiring at the ensuing AGM, the board of directors here by recommend to re appointment of the statutory auditor</w:t>
      </w:r>
      <w:r w:rsidR="00037966">
        <w:t xml:space="preserve"> for the period of 05 years.</w:t>
      </w:r>
    </w:p>
    <w:p w14:paraId="2EA0184E" w14:textId="2BAABB95" w:rsidR="007F312B" w:rsidRPr="007F312B" w:rsidRDefault="007F312B" w:rsidP="00532B2E">
      <w:pPr>
        <w:jc w:val="both"/>
        <w:rPr>
          <w:b/>
          <w:bCs/>
        </w:rPr>
      </w:pPr>
      <w:r w:rsidRPr="007F312B">
        <w:rPr>
          <w:b/>
          <w:bCs/>
        </w:rPr>
        <w:t xml:space="preserve">15) Internal Financial Controls, Risk &amp; Compliance </w:t>
      </w:r>
    </w:p>
    <w:p w14:paraId="4ED13ECD" w14:textId="77777777" w:rsidR="007F312B" w:rsidRPr="007F312B" w:rsidRDefault="007F312B" w:rsidP="00D86898">
      <w:pPr>
        <w:numPr>
          <w:ilvl w:val="0"/>
          <w:numId w:val="34"/>
        </w:numPr>
        <w:jc w:val="both"/>
      </w:pPr>
      <w:r w:rsidRPr="007F312B">
        <w:lastRenderedPageBreak/>
        <w:t>The Company has internal financial controls commensurate with its size and nature of operations; controls were tested and found adequate and effective.</w:t>
      </w:r>
    </w:p>
    <w:p w14:paraId="4C632FD7" w14:textId="77777777" w:rsidR="007F312B" w:rsidRPr="007F312B" w:rsidRDefault="007F312B" w:rsidP="00D86898">
      <w:pPr>
        <w:numPr>
          <w:ilvl w:val="0"/>
          <w:numId w:val="34"/>
        </w:numPr>
        <w:jc w:val="both"/>
      </w:pPr>
      <w:r w:rsidRPr="007F312B">
        <w:t>The Company follows a risk register covering financial, operational, compliance and IT risks with periodic review by management.</w:t>
      </w:r>
    </w:p>
    <w:p w14:paraId="6EA3955A" w14:textId="0B1CC9DB" w:rsidR="007F312B" w:rsidRPr="007F312B" w:rsidRDefault="007F312B" w:rsidP="00D86898">
      <w:pPr>
        <w:numPr>
          <w:ilvl w:val="0"/>
          <w:numId w:val="34"/>
        </w:numPr>
        <w:jc w:val="both"/>
      </w:pPr>
      <w:r w:rsidRPr="007F312B">
        <w:t>Compliance management: Statutory due dates calendar and maker-checker processes are in place.</w:t>
      </w:r>
    </w:p>
    <w:p w14:paraId="14A594D6" w14:textId="79BE0D9A" w:rsidR="007F312B" w:rsidRPr="007F312B" w:rsidRDefault="007F312B" w:rsidP="00532B2E">
      <w:pPr>
        <w:jc w:val="both"/>
        <w:rPr>
          <w:b/>
          <w:bCs/>
        </w:rPr>
      </w:pPr>
      <w:r w:rsidRPr="007F312B">
        <w:rPr>
          <w:b/>
          <w:bCs/>
        </w:rPr>
        <w:t>16) Secretarial Standards &amp; Secretarial Audit</w:t>
      </w:r>
    </w:p>
    <w:p w14:paraId="2F4B8207" w14:textId="791BA894" w:rsidR="007F312B" w:rsidRPr="007F312B" w:rsidRDefault="007F312B" w:rsidP="00532B2E">
      <w:pPr>
        <w:jc w:val="both"/>
      </w:pPr>
      <w:r w:rsidRPr="007F312B">
        <w:t>The Company has complied with SS-1 and SS-2 (ICSI).</w:t>
      </w:r>
      <w:r w:rsidR="00147728">
        <w:t xml:space="preserve"> Secretarial audit is not applicable to the company.</w:t>
      </w:r>
    </w:p>
    <w:p w14:paraId="5AD1EC56" w14:textId="77777777" w:rsidR="007F312B" w:rsidRPr="007F312B" w:rsidRDefault="007F312B" w:rsidP="00532B2E">
      <w:pPr>
        <w:jc w:val="both"/>
        <w:rPr>
          <w:b/>
          <w:bCs/>
        </w:rPr>
      </w:pPr>
      <w:r w:rsidRPr="007F312B">
        <w:rPr>
          <w:b/>
          <w:bCs/>
        </w:rPr>
        <w:t>17) Cost Records &amp; Cost Audit (Voluntary)</w:t>
      </w:r>
    </w:p>
    <w:p w14:paraId="4264964E" w14:textId="77777777" w:rsidR="007F312B" w:rsidRPr="007F312B" w:rsidRDefault="007F312B" w:rsidP="00532B2E">
      <w:pPr>
        <w:jc w:val="both"/>
      </w:pPr>
      <w:r w:rsidRPr="007F312B">
        <w:t>The provisions of maintenance of cost records and cost audit under Section 148 of the Companies Act, 2013 are not applicable to the Company for the financial year.</w:t>
      </w:r>
    </w:p>
    <w:p w14:paraId="630C70B8" w14:textId="77CC10D1" w:rsidR="007F312B" w:rsidRPr="007F312B" w:rsidRDefault="007F312B" w:rsidP="00532B2E">
      <w:pPr>
        <w:jc w:val="both"/>
        <w:rPr>
          <w:b/>
          <w:bCs/>
        </w:rPr>
      </w:pPr>
      <w:r w:rsidRPr="007F312B">
        <w:rPr>
          <w:b/>
          <w:bCs/>
        </w:rPr>
        <w:t xml:space="preserve">18) Conservation of Energy, Technology Absorption &amp; Foreign Exchange Earnings </w:t>
      </w:r>
    </w:p>
    <w:p w14:paraId="6F4D3016" w14:textId="49439470" w:rsidR="007F312B" w:rsidRPr="007F312B" w:rsidRDefault="007F312B" w:rsidP="00300663">
      <w:pPr>
        <w:ind w:left="360"/>
        <w:jc w:val="both"/>
      </w:pPr>
      <w:r w:rsidRPr="00300663">
        <w:rPr>
          <w:b/>
          <w:bCs/>
        </w:rPr>
        <w:t>Conservation of Energy:</w:t>
      </w:r>
    </w:p>
    <w:p w14:paraId="7F3AB5BF" w14:textId="77777777" w:rsidR="007F312B" w:rsidRPr="007F312B" w:rsidRDefault="007F312B" w:rsidP="00300663">
      <w:pPr>
        <w:pStyle w:val="ListParagraph"/>
        <w:numPr>
          <w:ilvl w:val="0"/>
          <w:numId w:val="38"/>
        </w:numPr>
        <w:jc w:val="both"/>
      </w:pPr>
      <w:r w:rsidRPr="007F312B">
        <w:t>Installation of energy-efficient equipment/lighting.</w:t>
      </w:r>
    </w:p>
    <w:p w14:paraId="0A5B6709" w14:textId="77777777" w:rsidR="007F312B" w:rsidRPr="007F312B" w:rsidRDefault="007F312B" w:rsidP="00300663">
      <w:pPr>
        <w:pStyle w:val="ListParagraph"/>
        <w:numPr>
          <w:ilvl w:val="0"/>
          <w:numId w:val="38"/>
        </w:numPr>
        <w:jc w:val="both"/>
      </w:pPr>
      <w:r w:rsidRPr="007F312B">
        <w:t>Encouraging digital documentation to reduce paper and printing.</w:t>
      </w:r>
    </w:p>
    <w:p w14:paraId="6F8C877A" w14:textId="77777777" w:rsidR="007F312B" w:rsidRPr="007F312B" w:rsidRDefault="007F312B" w:rsidP="00300663">
      <w:pPr>
        <w:pStyle w:val="ListParagraph"/>
        <w:numPr>
          <w:ilvl w:val="0"/>
          <w:numId w:val="38"/>
        </w:numPr>
        <w:jc w:val="both"/>
      </w:pPr>
      <w:r w:rsidRPr="007F312B">
        <w:t>Awareness initiatives among employees for responsible use of electricity and resources.</w:t>
      </w:r>
    </w:p>
    <w:p w14:paraId="7D3650E6" w14:textId="7A2B1E2B" w:rsidR="007F312B" w:rsidRPr="007F312B" w:rsidRDefault="007F312B" w:rsidP="00300663">
      <w:pPr>
        <w:ind w:left="360"/>
        <w:jc w:val="both"/>
      </w:pPr>
      <w:r w:rsidRPr="00300663">
        <w:rPr>
          <w:b/>
          <w:bCs/>
        </w:rPr>
        <w:t>Technology Absorption &amp; R&amp;D:</w:t>
      </w:r>
    </w:p>
    <w:p w14:paraId="27CA71E1" w14:textId="77777777" w:rsidR="007F312B" w:rsidRPr="007F312B" w:rsidRDefault="007F312B" w:rsidP="00300663">
      <w:pPr>
        <w:pStyle w:val="ListParagraph"/>
        <w:numPr>
          <w:ilvl w:val="0"/>
          <w:numId w:val="38"/>
        </w:numPr>
        <w:jc w:val="both"/>
      </w:pPr>
      <w:r w:rsidRPr="007F312B">
        <w:t>Continuous upgradation of systems and processes to improve efficiency.</w:t>
      </w:r>
    </w:p>
    <w:p w14:paraId="1C7F94FD" w14:textId="77777777" w:rsidR="007F312B" w:rsidRPr="007F312B" w:rsidRDefault="007F312B" w:rsidP="00300663">
      <w:pPr>
        <w:pStyle w:val="ListParagraph"/>
        <w:numPr>
          <w:ilvl w:val="0"/>
          <w:numId w:val="38"/>
        </w:numPr>
        <w:jc w:val="both"/>
      </w:pPr>
      <w:r w:rsidRPr="007F312B">
        <w:t>Adoption of relevant technology solutions/software.</w:t>
      </w:r>
    </w:p>
    <w:p w14:paraId="658375FD" w14:textId="77777777" w:rsidR="007F312B" w:rsidRPr="007F312B" w:rsidRDefault="007F312B" w:rsidP="00300663">
      <w:pPr>
        <w:pStyle w:val="ListParagraph"/>
        <w:numPr>
          <w:ilvl w:val="0"/>
          <w:numId w:val="38"/>
        </w:numPr>
        <w:jc w:val="both"/>
      </w:pPr>
      <w:r w:rsidRPr="007F312B">
        <w:t>Training and knowledge-sharing sessions for effective absorption.</w:t>
      </w:r>
    </w:p>
    <w:p w14:paraId="7F526112" w14:textId="77777777" w:rsidR="007F312B" w:rsidRPr="007F312B" w:rsidRDefault="007F312B" w:rsidP="00300663">
      <w:pPr>
        <w:pStyle w:val="ListParagraph"/>
        <w:numPr>
          <w:ilvl w:val="0"/>
          <w:numId w:val="38"/>
        </w:numPr>
        <w:jc w:val="both"/>
      </w:pPr>
      <w:r w:rsidRPr="007F312B">
        <w:t>Specific R&amp;D initiatives – Nil</w:t>
      </w:r>
    </w:p>
    <w:p w14:paraId="1662DA8A" w14:textId="53A9F270" w:rsidR="007F312B" w:rsidRPr="007F312B" w:rsidRDefault="007F312B" w:rsidP="00300663">
      <w:pPr>
        <w:ind w:left="360"/>
        <w:jc w:val="both"/>
      </w:pPr>
      <w:r w:rsidRPr="00300663">
        <w:rPr>
          <w:b/>
          <w:bCs/>
        </w:rPr>
        <w:t>Foreign Exchange Earnings &amp; Outgo:</w:t>
      </w:r>
    </w:p>
    <w:p w14:paraId="179D4DF0" w14:textId="0F54D52C" w:rsidR="008A3710" w:rsidRPr="008A3710" w:rsidRDefault="008A3710" w:rsidP="00485179">
      <w:pPr>
        <w:pStyle w:val="ListParagraph"/>
        <w:numPr>
          <w:ilvl w:val="0"/>
          <w:numId w:val="38"/>
        </w:numPr>
        <w:jc w:val="both"/>
      </w:pPr>
      <w:r>
        <w:t>Earnings: ₹ {number-12}.</w:t>
      </w:r>
    </w:p>
    <w:p w14:paraId="08C3A0F8" w14:textId="665822EE" w:rsidR="008A3710" w:rsidRPr="008A3710" w:rsidRDefault="008A3710" w:rsidP="00485179">
      <w:pPr>
        <w:pStyle w:val="ListParagraph"/>
        <w:numPr>
          <w:ilvl w:val="0"/>
          <w:numId w:val="38"/>
        </w:numPr>
        <w:jc w:val="both"/>
      </w:pPr>
      <w:r>
        <w:t>Outgo: ₹ {number-13}.</w:t>
      </w:r>
    </w:p>
    <w:p w14:paraId="08816565" w14:textId="77777777" w:rsidR="007F312B" w:rsidRPr="007F312B" w:rsidRDefault="007F312B" w:rsidP="00532B2E">
      <w:pPr>
        <w:jc w:val="both"/>
        <w:rPr>
          <w:b/>
          <w:bCs/>
        </w:rPr>
      </w:pPr>
      <w:r w:rsidRPr="007F312B">
        <w:rPr>
          <w:b/>
          <w:bCs/>
        </w:rPr>
        <w:t>19) POSH – Prevention of Sexual Harassment (Voluntary)</w:t>
      </w:r>
    </w:p>
    <w:p w14:paraId="498BF217" w14:textId="77777777" w:rsidR="0002601E" w:rsidRPr="0002601E" w:rsidRDefault="0002601E" w:rsidP="0002601E">
      <w:pPr>
        <w:jc w:val="both"/>
      </w:pPr>
      <w:r w:rsidRPr="0002601E">
        <w:t>The Company is committed to maintaining a safe, professional, and respectful workplace for all employees.</w:t>
      </w:r>
    </w:p>
    <w:p w14:paraId="18D33AFE" w14:textId="77777777" w:rsidR="0002601E" w:rsidRPr="0002601E" w:rsidRDefault="0002601E" w:rsidP="0002601E">
      <w:pPr>
        <w:numPr>
          <w:ilvl w:val="0"/>
          <w:numId w:val="40"/>
        </w:numPr>
        <w:jc w:val="both"/>
      </w:pPr>
      <w:r w:rsidRPr="0002601E">
        <w:lastRenderedPageBreak/>
        <w:t xml:space="preserve">The Company follows a </w:t>
      </w:r>
      <w:r w:rsidRPr="0002601E">
        <w:rPr>
          <w:b/>
          <w:bCs/>
        </w:rPr>
        <w:t>zero-tolerance policy</w:t>
      </w:r>
      <w:r w:rsidRPr="0002601E">
        <w:t xml:space="preserve"> towards sexual harassment and ensures awareness among employees regarding prevention and redressal of such issues.</w:t>
      </w:r>
    </w:p>
    <w:p w14:paraId="7A8AE58E" w14:textId="5142ED77" w:rsidR="0002601E" w:rsidRPr="0002601E" w:rsidRDefault="0038162B" w:rsidP="0002601E">
      <w:pPr>
        <w:numPr>
          <w:ilvl w:val="0"/>
          <w:numId w:val="40"/>
        </w:numPr>
        <w:jc w:val="both"/>
      </w:pPr>
      <w:r>
        <w:t>During the financial year</w:t>
      </w:r>
      <w:r w:rsidR="00D16228">
        <w:t>2024</w:t>
      </w:r>
      <w:r>
        <w:t>-25</w:t>
      </w:r>
      <w:r w:rsidR="0002601E" w:rsidRPr="0002601E">
        <w:t xml:space="preserve">, </w:t>
      </w:r>
      <w:r w:rsidR="0002601E" w:rsidRPr="0002601E">
        <w:rPr>
          <w:b/>
          <w:bCs/>
        </w:rPr>
        <w:t>no complaints</w:t>
      </w:r>
      <w:r w:rsidR="0002601E" w:rsidRPr="0002601E">
        <w:t xml:space="preserve"> were reported relating to sexual harassment at the workplace.</w:t>
      </w:r>
    </w:p>
    <w:p w14:paraId="19DB9359" w14:textId="2490CE41" w:rsidR="007F312B" w:rsidRPr="007F312B" w:rsidRDefault="007F312B" w:rsidP="00532B2E">
      <w:pPr>
        <w:jc w:val="both"/>
        <w:rPr>
          <w:b/>
          <w:bCs/>
        </w:rPr>
      </w:pPr>
      <w:r w:rsidRPr="007F312B">
        <w:rPr>
          <w:b/>
          <w:bCs/>
        </w:rPr>
        <w:t xml:space="preserve">20) Other Disclosures </w:t>
      </w:r>
    </w:p>
    <w:p w14:paraId="0A5E4824" w14:textId="42FAFC64" w:rsidR="00F95782" w:rsidRPr="00F95782" w:rsidRDefault="00F95782" w:rsidP="00E83C7B">
      <w:pPr>
        <w:pStyle w:val="ListParagraph"/>
        <w:numPr>
          <w:ilvl w:val="0"/>
          <w:numId w:val="41"/>
        </w:numPr>
        <w:ind w:left="709"/>
        <w:jc w:val="both"/>
      </w:pPr>
      <w:r w:rsidRPr="00F95782">
        <w:rPr>
          <w:b/>
          <w:bCs/>
        </w:rPr>
        <w:t>Register of Members</w:t>
      </w:r>
      <w:r w:rsidRPr="00F95782">
        <w:t>: The extracts of the Register of Members are maintained as per the provisions of the Companies Act, 2013 and are available for inspection by the members on request.</w:t>
      </w:r>
    </w:p>
    <w:p w14:paraId="5E023D7B" w14:textId="34EE3007" w:rsidR="00F95782" w:rsidRPr="00F95782" w:rsidRDefault="00F95782" w:rsidP="00E83C7B">
      <w:pPr>
        <w:pStyle w:val="ListParagraph"/>
        <w:numPr>
          <w:ilvl w:val="0"/>
          <w:numId w:val="41"/>
        </w:numPr>
        <w:ind w:left="709"/>
        <w:jc w:val="both"/>
      </w:pPr>
      <w:r w:rsidRPr="00F95782">
        <w:rPr>
          <w:b/>
          <w:bCs/>
        </w:rPr>
        <w:t>Material Changes and Commitments</w:t>
      </w:r>
      <w:r w:rsidRPr="00F95782">
        <w:t xml:space="preserve">: There have been </w:t>
      </w:r>
      <w:r w:rsidRPr="00F95782">
        <w:rPr>
          <w:b/>
          <w:bCs/>
        </w:rPr>
        <w:t>no material changes and commitments</w:t>
      </w:r>
      <w:r w:rsidRPr="00F95782">
        <w:t xml:space="preserve"> affecting the financial position of the Company between the end of the financial year and the date of this report.</w:t>
      </w:r>
    </w:p>
    <w:p w14:paraId="6D049804" w14:textId="3CCDD0D9" w:rsidR="007F312B" w:rsidRPr="007F312B" w:rsidRDefault="007F312B" w:rsidP="00532B2E">
      <w:pPr>
        <w:jc w:val="both"/>
        <w:rPr>
          <w:b/>
          <w:bCs/>
        </w:rPr>
      </w:pPr>
      <w:r w:rsidRPr="007F312B">
        <w:rPr>
          <w:b/>
          <w:bCs/>
        </w:rPr>
        <w:t>2</w:t>
      </w:r>
      <w:r w:rsidR="00445A44">
        <w:rPr>
          <w:b/>
          <w:bCs/>
        </w:rPr>
        <w:t>1</w:t>
      </w:r>
      <w:r w:rsidRPr="007F312B">
        <w:rPr>
          <w:b/>
          <w:bCs/>
        </w:rPr>
        <w:t>) Acknowledgements</w:t>
      </w:r>
    </w:p>
    <w:p w14:paraId="582CF0F3" w14:textId="089B821E" w:rsidR="007F312B" w:rsidRDefault="005249EB" w:rsidP="00532B2E">
      <w:pPr>
        <w:jc w:val="both"/>
      </w:pPr>
      <w:r w:rsidRPr="005249EB">
        <w:t>Your Directors place on record their sincere appreciation for the dedication and contribution of all employees during the year. The Board also conveys its gratitude to the Company’s customers, vendors, bankers, financial institutions, and various government authorities for their continued support and cooperation. The Directors further acknowledge the guidance and assistance received from the statutory auditors, and consultants of the Company.</w:t>
      </w:r>
    </w:p>
    <w:p w14:paraId="13373F29" w14:textId="77777777" w:rsidR="00E954AC" w:rsidRPr="007F312B" w:rsidRDefault="00E954AC" w:rsidP="00532B2E">
      <w:pPr>
        <w:jc w:val="both"/>
      </w:pPr>
    </w:p>
    <w:p w14:paraId="4F248606" w14:textId="06FF2A39" w:rsidR="007F312B" w:rsidRPr="007F312B" w:rsidRDefault="007F312B" w:rsidP="005249EB">
      <w:r>
        <w:t>Date: {date-1}</w:t>
      </w:r>
      <w:r>
        <w:br/>
        <w:t>Place: {name-4}</w:t>
      </w:r>
    </w:p>
    <w:p w14:paraId="473675A9" w14:textId="77777777" w:rsidR="007F312B" w:rsidRDefault="007F312B" w:rsidP="005249EB">
      <w:r>
        <w:t>For and on behalf of the Board of Directors</w:t>
      </w:r>
      <w:r>
        <w:br/>
        <w:t>{name-2}</w:t>
      </w:r>
    </w:p>
    <w:p w14:paraId="0B309CF8" w14:textId="77777777" w:rsidR="00E954AC" w:rsidRPr="007F312B" w:rsidRDefault="00E954AC" w:rsidP="005249EB"/>
    <w:tbl>
      <w:tblPr>
        <w:tblW w:w="9498" w:type="dxa"/>
        <w:tblCellSpacing w:w="15" w:type="dxa"/>
        <w:tblCellMar>
          <w:top w:w="15" w:type="dxa"/>
          <w:left w:w="15" w:type="dxa"/>
          <w:bottom w:w="15" w:type="dxa"/>
          <w:right w:w="15" w:type="dxa"/>
        </w:tblCellMar>
        <w:tblLook w:val="04A0" w:firstRow="1" w:lastRow="0" w:firstColumn="1" w:lastColumn="0" w:noHBand="0" w:noVBand="1"/>
      </w:tblPr>
      <w:tblGrid>
        <w:gridCol w:w="4678"/>
        <w:gridCol w:w="4820"/>
      </w:tblGrid>
      <w:tr w:rsidR="007F312B" w:rsidRPr="007F312B" w14:paraId="7AB83E60" w14:textId="77777777" w:rsidTr="005249EB">
        <w:trPr>
          <w:tblHeader/>
          <w:tblCellSpacing w:w="15" w:type="dxa"/>
        </w:trPr>
        <w:tc>
          <w:tcPr>
            <w:tcW w:w="4633" w:type="dxa"/>
            <w:vAlign w:val="center"/>
            <w:hideMark/>
          </w:tcPr>
          <w:p w14:paraId="0F4CBA4D" w14:textId="77777777" w:rsidR="007F312B" w:rsidRPr="007F312B" w:rsidRDefault="007F312B" w:rsidP="00F44391">
            <w:pPr>
              <w:pStyle w:val="NoSpacing"/>
            </w:pPr>
            <w:r w:rsidRPr="007F312B">
              <w:t>Sign:</w:t>
            </w:r>
          </w:p>
        </w:tc>
        <w:tc>
          <w:tcPr>
            <w:tcW w:w="4775" w:type="dxa"/>
            <w:vAlign w:val="center"/>
            <w:hideMark/>
          </w:tcPr>
          <w:p w14:paraId="0D93D0A7" w14:textId="77777777" w:rsidR="007F312B" w:rsidRPr="007F312B" w:rsidRDefault="007F312B" w:rsidP="00F44391">
            <w:pPr>
              <w:pStyle w:val="NoSpacing"/>
            </w:pPr>
            <w:r w:rsidRPr="007F312B">
              <w:t>Sign:</w:t>
            </w:r>
          </w:p>
        </w:tc>
      </w:tr>
      <w:tr w:rsidR="007F312B" w:rsidRPr="007F312B" w14:paraId="0868465D" w14:textId="77777777" w:rsidTr="00056AB2">
        <w:trPr>
          <w:trHeight w:val="189"/>
          <w:tblCellSpacing w:w="15" w:type="dxa"/>
        </w:trPr>
        <w:tc>
          <w:tcPr>
            <w:tcW w:w="4633" w:type="dxa"/>
            <w:vAlign w:val="center"/>
            <w:hideMark/>
          </w:tcPr>
          <w:p w14:paraId="27889140" w14:textId="77777777" w:rsidR="00F6497D" w:rsidRDefault="00A82327" w:rsidP="00F44391">
            <w:pPr>
              <w:pStyle w:val="NoSpacing"/>
            </w:pPr>
            <w:r>
              <w:t>{name-5}</w:t>
            </w:r>
          </w:p>
        </w:tc>
        <w:tc>
          <w:tcPr>
            <w:tcW w:w="4775" w:type="dxa"/>
            <w:vAlign w:val="center"/>
            <w:hideMark/>
          </w:tcPr>
          <w:p w14:paraId="3D3916AC" w14:textId="77777777" w:rsidR="00F6497D" w:rsidRDefault="00A82327" w:rsidP="00F44391">
            <w:pPr>
              <w:pStyle w:val="NoSpacing"/>
            </w:pPr>
            <w:r>
              <w:t>{name-6}</w:t>
            </w:r>
          </w:p>
        </w:tc>
      </w:tr>
      <w:tr w:rsidR="007F312B" w:rsidRPr="007F312B" w14:paraId="703054FA" w14:textId="77777777" w:rsidTr="005249EB">
        <w:trPr>
          <w:tblCellSpacing w:w="15" w:type="dxa"/>
        </w:trPr>
        <w:tc>
          <w:tcPr>
            <w:tcW w:w="4633" w:type="dxa"/>
            <w:vAlign w:val="center"/>
            <w:hideMark/>
          </w:tcPr>
          <w:p w14:paraId="522796D4" w14:textId="77777777" w:rsidR="00F6497D" w:rsidRDefault="00A82327" w:rsidP="00F44391">
            <w:pPr>
              <w:pStyle w:val="NoSpacing"/>
            </w:pPr>
            <w:r>
              <w:t>{select-1}</w:t>
            </w:r>
          </w:p>
        </w:tc>
        <w:tc>
          <w:tcPr>
            <w:tcW w:w="4775" w:type="dxa"/>
            <w:vAlign w:val="center"/>
            <w:hideMark/>
          </w:tcPr>
          <w:p w14:paraId="53D234C2" w14:textId="77777777" w:rsidR="00F6497D" w:rsidRDefault="00A82327" w:rsidP="00F44391">
            <w:pPr>
              <w:pStyle w:val="NoSpacing"/>
            </w:pPr>
            <w:r>
              <w:t>{select-2}</w:t>
            </w:r>
          </w:p>
        </w:tc>
      </w:tr>
      <w:tr w:rsidR="007F312B" w:rsidRPr="007F312B" w14:paraId="5BBAC706" w14:textId="77777777" w:rsidTr="005249EB">
        <w:trPr>
          <w:tblCellSpacing w:w="15" w:type="dxa"/>
        </w:trPr>
        <w:tc>
          <w:tcPr>
            <w:tcW w:w="4633" w:type="dxa"/>
            <w:vAlign w:val="center"/>
            <w:hideMark/>
          </w:tcPr>
          <w:p w14:paraId="423EC5FA" w14:textId="77777777" w:rsidR="00F6497D" w:rsidRDefault="00A82327" w:rsidP="00F44391">
            <w:pPr>
              <w:pStyle w:val="NoSpacing"/>
            </w:pPr>
            <w:r>
              <w:t>{number-15}</w:t>
            </w:r>
          </w:p>
        </w:tc>
        <w:tc>
          <w:tcPr>
            <w:tcW w:w="4775" w:type="dxa"/>
            <w:vAlign w:val="center"/>
            <w:hideMark/>
          </w:tcPr>
          <w:p w14:paraId="7D3DD6F1" w14:textId="77777777" w:rsidR="00F6497D" w:rsidRDefault="00A82327" w:rsidP="00F44391">
            <w:pPr>
              <w:pStyle w:val="NoSpacing"/>
            </w:pPr>
            <w:r>
              <w:t>{number-16}</w:t>
            </w:r>
          </w:p>
        </w:tc>
      </w:tr>
    </w:tbl>
    <w:p w14:paraId="19E68358" w14:textId="77777777" w:rsidR="007938BE" w:rsidRPr="007F312B" w:rsidRDefault="007938BE" w:rsidP="005249EB"/>
    <w:sectPr w:rsidR="007938BE" w:rsidRPr="007F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78A"/>
    <w:multiLevelType w:val="hybridMultilevel"/>
    <w:tmpl w:val="3F1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71EE"/>
    <w:multiLevelType w:val="multilevel"/>
    <w:tmpl w:val="FF0E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6672"/>
    <w:multiLevelType w:val="multilevel"/>
    <w:tmpl w:val="015A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1719"/>
    <w:multiLevelType w:val="multilevel"/>
    <w:tmpl w:val="A99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15E7"/>
    <w:multiLevelType w:val="multilevel"/>
    <w:tmpl w:val="FC0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B6112"/>
    <w:multiLevelType w:val="multilevel"/>
    <w:tmpl w:val="5EB6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570B"/>
    <w:multiLevelType w:val="hybridMultilevel"/>
    <w:tmpl w:val="1F2C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83836"/>
    <w:multiLevelType w:val="multilevel"/>
    <w:tmpl w:val="628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74DBC"/>
    <w:multiLevelType w:val="multilevel"/>
    <w:tmpl w:val="C1D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411A1"/>
    <w:multiLevelType w:val="multilevel"/>
    <w:tmpl w:val="085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572A4"/>
    <w:multiLevelType w:val="hybridMultilevel"/>
    <w:tmpl w:val="84C63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6A17E6"/>
    <w:multiLevelType w:val="multilevel"/>
    <w:tmpl w:val="28F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50B6A"/>
    <w:multiLevelType w:val="hybridMultilevel"/>
    <w:tmpl w:val="4A5C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174C7"/>
    <w:multiLevelType w:val="multilevel"/>
    <w:tmpl w:val="A97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8790A"/>
    <w:multiLevelType w:val="multilevel"/>
    <w:tmpl w:val="778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83D51"/>
    <w:multiLevelType w:val="multilevel"/>
    <w:tmpl w:val="404E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34C8E"/>
    <w:multiLevelType w:val="hybridMultilevel"/>
    <w:tmpl w:val="5D1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6061E"/>
    <w:multiLevelType w:val="hybridMultilevel"/>
    <w:tmpl w:val="C43E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05682"/>
    <w:multiLevelType w:val="multilevel"/>
    <w:tmpl w:val="2836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B4B1F"/>
    <w:multiLevelType w:val="hybridMultilevel"/>
    <w:tmpl w:val="504A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048B4"/>
    <w:multiLevelType w:val="hybridMultilevel"/>
    <w:tmpl w:val="E350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CB3DF2"/>
    <w:multiLevelType w:val="hybridMultilevel"/>
    <w:tmpl w:val="37726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2D200F"/>
    <w:multiLevelType w:val="multilevel"/>
    <w:tmpl w:val="229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E6EC1"/>
    <w:multiLevelType w:val="multilevel"/>
    <w:tmpl w:val="761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90462"/>
    <w:multiLevelType w:val="hybridMultilevel"/>
    <w:tmpl w:val="521EC676"/>
    <w:lvl w:ilvl="0" w:tplc="98BCC8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235C6"/>
    <w:multiLevelType w:val="multilevel"/>
    <w:tmpl w:val="3AF09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A24CB"/>
    <w:multiLevelType w:val="hybridMultilevel"/>
    <w:tmpl w:val="8326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8407E"/>
    <w:multiLevelType w:val="multilevel"/>
    <w:tmpl w:val="E28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D450F"/>
    <w:multiLevelType w:val="multilevel"/>
    <w:tmpl w:val="25E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82F3D"/>
    <w:multiLevelType w:val="hybridMultilevel"/>
    <w:tmpl w:val="F104C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2B55C6"/>
    <w:multiLevelType w:val="multilevel"/>
    <w:tmpl w:val="ADC2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10229"/>
    <w:multiLevelType w:val="multilevel"/>
    <w:tmpl w:val="298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7459"/>
    <w:multiLevelType w:val="multilevel"/>
    <w:tmpl w:val="B2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9172E"/>
    <w:multiLevelType w:val="multilevel"/>
    <w:tmpl w:val="CE8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4535B"/>
    <w:multiLevelType w:val="multilevel"/>
    <w:tmpl w:val="0EC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84F77"/>
    <w:multiLevelType w:val="multilevel"/>
    <w:tmpl w:val="AE46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51693"/>
    <w:multiLevelType w:val="hybridMultilevel"/>
    <w:tmpl w:val="63D4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76A17"/>
    <w:multiLevelType w:val="multilevel"/>
    <w:tmpl w:val="8BD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D6661"/>
    <w:multiLevelType w:val="multilevel"/>
    <w:tmpl w:val="DC84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42D38"/>
    <w:multiLevelType w:val="hybridMultilevel"/>
    <w:tmpl w:val="09AA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D01A8"/>
    <w:multiLevelType w:val="multilevel"/>
    <w:tmpl w:val="593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F518C"/>
    <w:multiLevelType w:val="multilevel"/>
    <w:tmpl w:val="3B6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07A60"/>
    <w:multiLevelType w:val="multilevel"/>
    <w:tmpl w:val="0E5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69682A"/>
    <w:multiLevelType w:val="multilevel"/>
    <w:tmpl w:val="E04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237B7"/>
    <w:multiLevelType w:val="hybridMultilevel"/>
    <w:tmpl w:val="4FA4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D61A2A"/>
    <w:multiLevelType w:val="hybridMultilevel"/>
    <w:tmpl w:val="DC765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B43939"/>
    <w:multiLevelType w:val="multilevel"/>
    <w:tmpl w:val="EBF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82C4A"/>
    <w:multiLevelType w:val="multilevel"/>
    <w:tmpl w:val="7F9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83137">
    <w:abstractNumId w:val="37"/>
  </w:num>
  <w:num w:numId="2" w16cid:durableId="1924534140">
    <w:abstractNumId w:val="25"/>
  </w:num>
  <w:num w:numId="3" w16cid:durableId="987201067">
    <w:abstractNumId w:val="5"/>
  </w:num>
  <w:num w:numId="4" w16cid:durableId="698236171">
    <w:abstractNumId w:val="11"/>
  </w:num>
  <w:num w:numId="5" w16cid:durableId="1123839495">
    <w:abstractNumId w:val="4"/>
  </w:num>
  <w:num w:numId="6" w16cid:durableId="480389439">
    <w:abstractNumId w:val="27"/>
  </w:num>
  <w:num w:numId="7" w16cid:durableId="1055541944">
    <w:abstractNumId w:val="2"/>
  </w:num>
  <w:num w:numId="8" w16cid:durableId="1950432338">
    <w:abstractNumId w:val="18"/>
  </w:num>
  <w:num w:numId="9" w16cid:durableId="1794057627">
    <w:abstractNumId w:val="33"/>
  </w:num>
  <w:num w:numId="10" w16cid:durableId="301541765">
    <w:abstractNumId w:val="41"/>
  </w:num>
  <w:num w:numId="11" w16cid:durableId="962542123">
    <w:abstractNumId w:val="9"/>
  </w:num>
  <w:num w:numId="12" w16cid:durableId="1504930691">
    <w:abstractNumId w:val="22"/>
  </w:num>
  <w:num w:numId="13" w16cid:durableId="565602664">
    <w:abstractNumId w:val="30"/>
  </w:num>
  <w:num w:numId="14" w16cid:durableId="1305160656">
    <w:abstractNumId w:val="14"/>
  </w:num>
  <w:num w:numId="15" w16cid:durableId="1919367671">
    <w:abstractNumId w:val="46"/>
  </w:num>
  <w:num w:numId="16" w16cid:durableId="1039164465">
    <w:abstractNumId w:val="38"/>
  </w:num>
  <w:num w:numId="17" w16cid:durableId="1810129383">
    <w:abstractNumId w:val="31"/>
  </w:num>
  <w:num w:numId="18" w16cid:durableId="1265504790">
    <w:abstractNumId w:val="42"/>
  </w:num>
  <w:num w:numId="19" w16cid:durableId="755591821">
    <w:abstractNumId w:val="8"/>
  </w:num>
  <w:num w:numId="20" w16cid:durableId="2001154546">
    <w:abstractNumId w:val="1"/>
  </w:num>
  <w:num w:numId="21" w16cid:durableId="2057927031">
    <w:abstractNumId w:val="15"/>
  </w:num>
  <w:num w:numId="22" w16cid:durableId="282661418">
    <w:abstractNumId w:val="13"/>
  </w:num>
  <w:num w:numId="23" w16cid:durableId="651518013">
    <w:abstractNumId w:val="47"/>
  </w:num>
  <w:num w:numId="24" w16cid:durableId="707993710">
    <w:abstractNumId w:val="32"/>
  </w:num>
  <w:num w:numId="25" w16cid:durableId="1318071312">
    <w:abstractNumId w:val="28"/>
  </w:num>
  <w:num w:numId="26" w16cid:durableId="148640404">
    <w:abstractNumId w:val="3"/>
  </w:num>
  <w:num w:numId="27" w16cid:durableId="399596499">
    <w:abstractNumId w:val="43"/>
  </w:num>
  <w:num w:numId="28" w16cid:durableId="168101847">
    <w:abstractNumId w:val="35"/>
  </w:num>
  <w:num w:numId="29" w16cid:durableId="496723825">
    <w:abstractNumId w:val="34"/>
  </w:num>
  <w:num w:numId="30" w16cid:durableId="265231925">
    <w:abstractNumId w:val="23"/>
  </w:num>
  <w:num w:numId="31" w16cid:durableId="473763831">
    <w:abstractNumId w:val="17"/>
  </w:num>
  <w:num w:numId="32" w16cid:durableId="1423915798">
    <w:abstractNumId w:val="39"/>
  </w:num>
  <w:num w:numId="33" w16cid:durableId="1070812412">
    <w:abstractNumId w:val="16"/>
  </w:num>
  <w:num w:numId="34" w16cid:durableId="533272129">
    <w:abstractNumId w:val="36"/>
  </w:num>
  <w:num w:numId="35" w16cid:durableId="536088736">
    <w:abstractNumId w:val="0"/>
  </w:num>
  <w:num w:numId="36" w16cid:durableId="1050885265">
    <w:abstractNumId w:val="24"/>
  </w:num>
  <w:num w:numId="37" w16cid:durableId="429393905">
    <w:abstractNumId w:val="29"/>
  </w:num>
  <w:num w:numId="38" w16cid:durableId="921064090">
    <w:abstractNumId w:val="21"/>
  </w:num>
  <w:num w:numId="39" w16cid:durableId="1641886909">
    <w:abstractNumId w:val="7"/>
  </w:num>
  <w:num w:numId="40" w16cid:durableId="1240093113">
    <w:abstractNumId w:val="40"/>
  </w:num>
  <w:num w:numId="41" w16cid:durableId="182792849">
    <w:abstractNumId w:val="10"/>
  </w:num>
  <w:num w:numId="42" w16cid:durableId="44767499">
    <w:abstractNumId w:val="44"/>
  </w:num>
  <w:num w:numId="43" w16cid:durableId="650407242">
    <w:abstractNumId w:val="45"/>
  </w:num>
  <w:num w:numId="44" w16cid:durableId="157383384">
    <w:abstractNumId w:val="6"/>
  </w:num>
  <w:num w:numId="45" w16cid:durableId="1734769239">
    <w:abstractNumId w:val="12"/>
  </w:num>
  <w:num w:numId="46" w16cid:durableId="634531637">
    <w:abstractNumId w:val="19"/>
  </w:num>
  <w:num w:numId="47" w16cid:durableId="1210143523">
    <w:abstractNumId w:val="20"/>
  </w:num>
  <w:num w:numId="48" w16cid:durableId="4502722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9F"/>
    <w:rsid w:val="00011D24"/>
    <w:rsid w:val="0002601E"/>
    <w:rsid w:val="000315D1"/>
    <w:rsid w:val="00035A78"/>
    <w:rsid w:val="00037966"/>
    <w:rsid w:val="00056AB2"/>
    <w:rsid w:val="000803C6"/>
    <w:rsid w:val="00082DC9"/>
    <w:rsid w:val="00084D6E"/>
    <w:rsid w:val="000C4336"/>
    <w:rsid w:val="000C4824"/>
    <w:rsid w:val="000F376C"/>
    <w:rsid w:val="00121924"/>
    <w:rsid w:val="00135EA5"/>
    <w:rsid w:val="001415DE"/>
    <w:rsid w:val="00147728"/>
    <w:rsid w:val="00152CFA"/>
    <w:rsid w:val="00186627"/>
    <w:rsid w:val="00186B77"/>
    <w:rsid w:val="0019647E"/>
    <w:rsid w:val="001A029E"/>
    <w:rsid w:val="001B027D"/>
    <w:rsid w:val="001B33F8"/>
    <w:rsid w:val="001B6410"/>
    <w:rsid w:val="001F07ED"/>
    <w:rsid w:val="001F2301"/>
    <w:rsid w:val="00223652"/>
    <w:rsid w:val="00244A9D"/>
    <w:rsid w:val="00245AF5"/>
    <w:rsid w:val="00246A17"/>
    <w:rsid w:val="00250D13"/>
    <w:rsid w:val="0026692E"/>
    <w:rsid w:val="0027362A"/>
    <w:rsid w:val="002945B6"/>
    <w:rsid w:val="002C2EC5"/>
    <w:rsid w:val="002F5888"/>
    <w:rsid w:val="00300663"/>
    <w:rsid w:val="00304B87"/>
    <w:rsid w:val="003222E3"/>
    <w:rsid w:val="00324C75"/>
    <w:rsid w:val="00334EE6"/>
    <w:rsid w:val="00337E70"/>
    <w:rsid w:val="003634DD"/>
    <w:rsid w:val="0038162B"/>
    <w:rsid w:val="00384F89"/>
    <w:rsid w:val="00395F4C"/>
    <w:rsid w:val="00397B1E"/>
    <w:rsid w:val="003A603F"/>
    <w:rsid w:val="003C1EFA"/>
    <w:rsid w:val="003D6C8F"/>
    <w:rsid w:val="003E0882"/>
    <w:rsid w:val="003E6D4D"/>
    <w:rsid w:val="00406C2D"/>
    <w:rsid w:val="00421CAE"/>
    <w:rsid w:val="00445A44"/>
    <w:rsid w:val="00457E06"/>
    <w:rsid w:val="004714DC"/>
    <w:rsid w:val="0047406E"/>
    <w:rsid w:val="004748C4"/>
    <w:rsid w:val="00485179"/>
    <w:rsid w:val="00490F9F"/>
    <w:rsid w:val="004B087B"/>
    <w:rsid w:val="004C2F30"/>
    <w:rsid w:val="00510930"/>
    <w:rsid w:val="005160B0"/>
    <w:rsid w:val="005225F7"/>
    <w:rsid w:val="005249EB"/>
    <w:rsid w:val="00532B2E"/>
    <w:rsid w:val="00533D43"/>
    <w:rsid w:val="00572AD3"/>
    <w:rsid w:val="00581216"/>
    <w:rsid w:val="00583BEA"/>
    <w:rsid w:val="005C1D26"/>
    <w:rsid w:val="005C51CC"/>
    <w:rsid w:val="006002A0"/>
    <w:rsid w:val="00632B52"/>
    <w:rsid w:val="00632CC7"/>
    <w:rsid w:val="006413B7"/>
    <w:rsid w:val="006470BF"/>
    <w:rsid w:val="0066160E"/>
    <w:rsid w:val="00674A60"/>
    <w:rsid w:val="00685604"/>
    <w:rsid w:val="00686647"/>
    <w:rsid w:val="006A28A9"/>
    <w:rsid w:val="006A28EF"/>
    <w:rsid w:val="006B0CFB"/>
    <w:rsid w:val="006B553C"/>
    <w:rsid w:val="006B61C3"/>
    <w:rsid w:val="006B6BC5"/>
    <w:rsid w:val="006D1884"/>
    <w:rsid w:val="006D51CE"/>
    <w:rsid w:val="006E0CB9"/>
    <w:rsid w:val="006E7397"/>
    <w:rsid w:val="006F7F45"/>
    <w:rsid w:val="0070026A"/>
    <w:rsid w:val="00715700"/>
    <w:rsid w:val="00717F0A"/>
    <w:rsid w:val="007322DD"/>
    <w:rsid w:val="00736DB5"/>
    <w:rsid w:val="00756E7A"/>
    <w:rsid w:val="007734E1"/>
    <w:rsid w:val="007861CD"/>
    <w:rsid w:val="00787D2E"/>
    <w:rsid w:val="007914D4"/>
    <w:rsid w:val="007915B6"/>
    <w:rsid w:val="007938BE"/>
    <w:rsid w:val="007A4C60"/>
    <w:rsid w:val="007B05FC"/>
    <w:rsid w:val="007C59FB"/>
    <w:rsid w:val="007E1E14"/>
    <w:rsid w:val="007F2921"/>
    <w:rsid w:val="007F312B"/>
    <w:rsid w:val="00821555"/>
    <w:rsid w:val="00823131"/>
    <w:rsid w:val="008318B7"/>
    <w:rsid w:val="00866DC5"/>
    <w:rsid w:val="0087475E"/>
    <w:rsid w:val="00896A9C"/>
    <w:rsid w:val="008A3710"/>
    <w:rsid w:val="008C58C9"/>
    <w:rsid w:val="008E2049"/>
    <w:rsid w:val="008E5A5D"/>
    <w:rsid w:val="008F1872"/>
    <w:rsid w:val="008F2808"/>
    <w:rsid w:val="00907787"/>
    <w:rsid w:val="00911B3F"/>
    <w:rsid w:val="009149C5"/>
    <w:rsid w:val="009250A7"/>
    <w:rsid w:val="009363CD"/>
    <w:rsid w:val="0098047A"/>
    <w:rsid w:val="0098181B"/>
    <w:rsid w:val="009879DF"/>
    <w:rsid w:val="00A051EA"/>
    <w:rsid w:val="00A16B0F"/>
    <w:rsid w:val="00A61190"/>
    <w:rsid w:val="00A63357"/>
    <w:rsid w:val="00A82327"/>
    <w:rsid w:val="00A911FD"/>
    <w:rsid w:val="00AA620B"/>
    <w:rsid w:val="00AA635E"/>
    <w:rsid w:val="00AB2DD4"/>
    <w:rsid w:val="00AE02A3"/>
    <w:rsid w:val="00AE64F8"/>
    <w:rsid w:val="00AF04F0"/>
    <w:rsid w:val="00B0145E"/>
    <w:rsid w:val="00B07D08"/>
    <w:rsid w:val="00B42F63"/>
    <w:rsid w:val="00B43235"/>
    <w:rsid w:val="00B509C6"/>
    <w:rsid w:val="00B57C53"/>
    <w:rsid w:val="00B836C1"/>
    <w:rsid w:val="00B91600"/>
    <w:rsid w:val="00BA14A8"/>
    <w:rsid w:val="00BB501E"/>
    <w:rsid w:val="00BC504E"/>
    <w:rsid w:val="00BC6D22"/>
    <w:rsid w:val="00BD2EB7"/>
    <w:rsid w:val="00BE4621"/>
    <w:rsid w:val="00BF378D"/>
    <w:rsid w:val="00C17AE1"/>
    <w:rsid w:val="00C344C3"/>
    <w:rsid w:val="00C4348F"/>
    <w:rsid w:val="00C94CD0"/>
    <w:rsid w:val="00CF7854"/>
    <w:rsid w:val="00D07682"/>
    <w:rsid w:val="00D16228"/>
    <w:rsid w:val="00D464B8"/>
    <w:rsid w:val="00D82FBE"/>
    <w:rsid w:val="00D86898"/>
    <w:rsid w:val="00D90A0C"/>
    <w:rsid w:val="00D97F13"/>
    <w:rsid w:val="00DB03BE"/>
    <w:rsid w:val="00DB190A"/>
    <w:rsid w:val="00DB3CC9"/>
    <w:rsid w:val="00DD1F1C"/>
    <w:rsid w:val="00DD24A4"/>
    <w:rsid w:val="00DD4B9B"/>
    <w:rsid w:val="00E04F19"/>
    <w:rsid w:val="00E05AA6"/>
    <w:rsid w:val="00E36B17"/>
    <w:rsid w:val="00E639F1"/>
    <w:rsid w:val="00E74084"/>
    <w:rsid w:val="00E83C7B"/>
    <w:rsid w:val="00E83F34"/>
    <w:rsid w:val="00E954AC"/>
    <w:rsid w:val="00EB26B5"/>
    <w:rsid w:val="00ED3282"/>
    <w:rsid w:val="00F2535C"/>
    <w:rsid w:val="00F44391"/>
    <w:rsid w:val="00F5426A"/>
    <w:rsid w:val="00F620CE"/>
    <w:rsid w:val="00F624EE"/>
    <w:rsid w:val="00F6497D"/>
    <w:rsid w:val="00F650C8"/>
    <w:rsid w:val="00F8558B"/>
    <w:rsid w:val="00F95782"/>
    <w:rsid w:val="00FB04A0"/>
    <w:rsid w:val="00FD33EA"/>
    <w:rsid w:val="00FE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4B7A"/>
  <w15:chartTrackingRefBased/>
  <w15:docId w15:val="{E4F290A5-474F-44A9-B997-30F0EFD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0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0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F9F"/>
    <w:rPr>
      <w:rFonts w:eastAsiaTheme="majorEastAsia" w:cstheme="majorBidi"/>
      <w:color w:val="272727" w:themeColor="text1" w:themeTint="D8"/>
    </w:rPr>
  </w:style>
  <w:style w:type="paragraph" w:styleId="Title">
    <w:name w:val="Title"/>
    <w:basedOn w:val="Normal"/>
    <w:next w:val="Normal"/>
    <w:link w:val="TitleChar"/>
    <w:uiPriority w:val="10"/>
    <w:qFormat/>
    <w:rsid w:val="00490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F9F"/>
    <w:pPr>
      <w:spacing w:before="160"/>
      <w:jc w:val="center"/>
    </w:pPr>
    <w:rPr>
      <w:i/>
      <w:iCs/>
      <w:color w:val="404040" w:themeColor="text1" w:themeTint="BF"/>
    </w:rPr>
  </w:style>
  <w:style w:type="character" w:customStyle="1" w:styleId="QuoteChar">
    <w:name w:val="Quote Char"/>
    <w:basedOn w:val="DefaultParagraphFont"/>
    <w:link w:val="Quote"/>
    <w:uiPriority w:val="29"/>
    <w:rsid w:val="00490F9F"/>
    <w:rPr>
      <w:i/>
      <w:iCs/>
      <w:color w:val="404040" w:themeColor="text1" w:themeTint="BF"/>
    </w:rPr>
  </w:style>
  <w:style w:type="paragraph" w:styleId="ListParagraph">
    <w:name w:val="List Paragraph"/>
    <w:basedOn w:val="Normal"/>
    <w:uiPriority w:val="34"/>
    <w:qFormat/>
    <w:rsid w:val="00490F9F"/>
    <w:pPr>
      <w:ind w:left="720"/>
      <w:contextualSpacing/>
    </w:pPr>
  </w:style>
  <w:style w:type="character" w:styleId="IntenseEmphasis">
    <w:name w:val="Intense Emphasis"/>
    <w:basedOn w:val="DefaultParagraphFont"/>
    <w:uiPriority w:val="21"/>
    <w:qFormat/>
    <w:rsid w:val="00490F9F"/>
    <w:rPr>
      <w:i/>
      <w:iCs/>
      <w:color w:val="0F4761" w:themeColor="accent1" w:themeShade="BF"/>
    </w:rPr>
  </w:style>
  <w:style w:type="paragraph" w:styleId="IntenseQuote">
    <w:name w:val="Intense Quote"/>
    <w:basedOn w:val="Normal"/>
    <w:next w:val="Normal"/>
    <w:link w:val="IntenseQuoteChar"/>
    <w:uiPriority w:val="30"/>
    <w:qFormat/>
    <w:rsid w:val="00490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F9F"/>
    <w:rPr>
      <w:i/>
      <w:iCs/>
      <w:color w:val="0F4761" w:themeColor="accent1" w:themeShade="BF"/>
    </w:rPr>
  </w:style>
  <w:style w:type="character" w:styleId="IntenseReference">
    <w:name w:val="Intense Reference"/>
    <w:basedOn w:val="DefaultParagraphFont"/>
    <w:uiPriority w:val="32"/>
    <w:qFormat/>
    <w:rsid w:val="00490F9F"/>
    <w:rPr>
      <w:b/>
      <w:bCs/>
      <w:smallCaps/>
      <w:color w:val="0F4761" w:themeColor="accent1" w:themeShade="BF"/>
      <w:spacing w:val="5"/>
    </w:rPr>
  </w:style>
  <w:style w:type="table" w:styleId="TableGrid">
    <w:name w:val="Table Grid"/>
    <w:basedOn w:val="TableNormal"/>
    <w:uiPriority w:val="39"/>
    <w:rsid w:val="00DD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64B8"/>
    <w:rPr>
      <w:rFonts w:ascii="Times New Roman" w:hAnsi="Times New Roman" w:cs="Times New Roman"/>
    </w:rPr>
  </w:style>
  <w:style w:type="character" w:styleId="Strong">
    <w:name w:val="Strong"/>
    <w:basedOn w:val="DefaultParagraphFont"/>
    <w:uiPriority w:val="22"/>
    <w:qFormat/>
    <w:rsid w:val="00B57C53"/>
    <w:rPr>
      <w:b/>
      <w:bCs/>
    </w:rPr>
  </w:style>
  <w:style w:type="character" w:styleId="Emphasis">
    <w:name w:val="Emphasis"/>
    <w:basedOn w:val="DefaultParagraphFont"/>
    <w:uiPriority w:val="20"/>
    <w:qFormat/>
    <w:rsid w:val="00B57C53"/>
    <w:rPr>
      <w:i/>
      <w:iCs/>
    </w:rPr>
  </w:style>
  <w:style w:type="character" w:styleId="HTMLCode">
    <w:name w:val="HTML Code"/>
    <w:basedOn w:val="DefaultParagraphFont"/>
    <w:uiPriority w:val="99"/>
    <w:semiHidden/>
    <w:unhideWhenUsed/>
    <w:rsid w:val="00AE64F8"/>
    <w:rPr>
      <w:rFonts w:ascii="Courier New" w:eastAsia="Times New Roman" w:hAnsi="Courier New" w:cs="Courier New"/>
      <w:sz w:val="20"/>
      <w:szCs w:val="20"/>
    </w:rPr>
  </w:style>
  <w:style w:type="paragraph" w:styleId="NoSpacing">
    <w:name w:val="No Spacing"/>
    <w:uiPriority w:val="1"/>
    <w:qFormat/>
    <w:rsid w:val="00E04F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Pentela</dc:creator>
  <cp:keywords/>
  <dc:description/>
  <cp:lastModifiedBy>Sridhar Pentela</cp:lastModifiedBy>
  <cp:revision>2</cp:revision>
  <dcterms:created xsi:type="dcterms:W3CDTF">2025-08-29T10:44:00Z</dcterms:created>
  <dcterms:modified xsi:type="dcterms:W3CDTF">2025-08-29T10:44:00Z</dcterms:modified>
</cp:coreProperties>
</file>