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How has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does the concentration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consistently collected animal and environmental samples from the land around the mine and the Alligator Rivers Watershed, since mine activity began. The samples have been measured for many different mine contaminants including the heavy metals Cu, As, Pb, Hg, and the radionuclides U238, U234, Th230, Ra226, Pb210, Po210, Th232, Ra228, Th228, Ac227, K40.</w:t>
      </w:r>
    </w:p>
    <w:p>
      <w:pPr>
        <w:pStyle w:val="BodyText"/>
      </w:pPr>
      <w:r>
        <w:t xml:space="preserve">The location of the mine and the surrounding region is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both flora and fauna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terrestrial soil. The following map shows the location of these different sample types, within the watershed.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sample data set has been continually gathered by the ERISS to keep track of mine contaminants in the region over space and time. The data 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2/3 of the land in the region is aboriginally owned. Because of this ownership, there are concerns about the contamination of bush foods and also the contamination of flora for wild animal consumption. Lastly, analyzing this data can help us better understand the impacts of the mine on Kakadu National Park, as the other 1/3 of the region is park land. The site is to be remediated by 2026 and incorporated into Kakadu, so knowing how and where contaminants are located is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ee8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5804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