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Have mining and milling operations at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 the concentrations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been collecting animal and environmental samples from the land around the mine and the Alligator Rivers Watershed since mine activity began. The samples have been measured for many different mine contaminants including the heavy metals Cu, As, Pb, Hg, and the radionuclides</w:t>
      </w:r>
      <w:r>
        <w:t xml:space="preserve"> </w:t>
      </w:r>
      <w:r>
        <w:rPr>
          <w:vertAlign w:val="superscript"/>
        </w:rPr>
        <w:t xml:space="preserve">234</w:t>
      </w:r>
      <w:r>
        <w:t xml:space="preserve">U,</w:t>
      </w:r>
      <w:r>
        <w:t xml:space="preserve"> </w:t>
      </w:r>
      <w:r>
        <w:rPr>
          <w:vertAlign w:val="superscript"/>
        </w:rPr>
        <w:t xml:space="preserve">238</w:t>
      </w:r>
      <w:r>
        <w:t xml:space="preserve">U,</w:t>
      </w:r>
      <w:r>
        <w:t xml:space="preserve"> </w:t>
      </w:r>
      <w:r>
        <w:rPr>
          <w:vertAlign w:val="superscript"/>
        </w:rPr>
        <w:t xml:space="preserve">230</w:t>
      </w:r>
      <w:r>
        <w:t xml:space="preserve">Th,</w:t>
      </w:r>
      <w:r>
        <w:t xml:space="preserve"> </w:t>
      </w:r>
      <w:r>
        <w:rPr>
          <w:vertAlign w:val="superscript"/>
        </w:rPr>
        <w:t xml:space="preserve">232</w:t>
      </w:r>
      <w:r>
        <w:t xml:space="preserve">Th,</w:t>
      </w:r>
      <w:r>
        <w:t xml:space="preserve"> </w:t>
      </w:r>
      <w:r>
        <w:rPr>
          <w:vertAlign w:val="superscript"/>
        </w:rPr>
        <w:t xml:space="preserve">226</w:t>
      </w:r>
      <w:r>
        <w:t xml:space="preserve">Ra,</w:t>
      </w:r>
      <w:r>
        <w:t xml:space="preserve"> </w:t>
      </w:r>
      <w:r>
        <w:rPr>
          <w:vertAlign w:val="superscript"/>
        </w:rPr>
        <w:t xml:space="preserve">228</w:t>
      </w:r>
      <w:r>
        <w:t xml:space="preserve">Ra,</w:t>
      </w:r>
      <w:r>
        <w:t xml:space="preserve"> </w:t>
      </w:r>
      <w:r>
        <w:rPr>
          <w:vertAlign w:val="superscript"/>
        </w:rPr>
        <w:t xml:space="preserve">210</w:t>
      </w:r>
      <w:r>
        <w:t xml:space="preserve">Pb,</w:t>
      </w:r>
      <w:r>
        <w:t xml:space="preserve"> </w:t>
      </w:r>
      <w:r>
        <w:rPr>
          <w:vertAlign w:val="superscript"/>
        </w:rPr>
        <w:t xml:space="preserve">210</w:t>
      </w:r>
      <w:r>
        <w:t xml:space="preserve">Po,</w:t>
      </w:r>
      <w:r>
        <w:t xml:space="preserve"> </w:t>
      </w:r>
      <w:r>
        <w:rPr>
          <w:vertAlign w:val="superscript"/>
        </w:rPr>
        <w:t xml:space="preserve">228</w:t>
      </w:r>
      <w:r>
        <w:t xml:space="preserve">Th,</w:t>
      </w:r>
      <w:r>
        <w:t xml:space="preserve"> </w:t>
      </w:r>
      <w:r>
        <w:rPr>
          <w:vertAlign w:val="superscript"/>
        </w:rPr>
        <w:t xml:space="preserve">227</w:t>
      </w:r>
      <w:r>
        <w:t xml:space="preserve">Ac, and</w:t>
      </w:r>
      <w:r>
        <w:t xml:space="preserve"> </w:t>
      </w:r>
      <w:r>
        <w:rPr>
          <w:vertAlign w:val="superscript"/>
        </w:rPr>
        <w:t xml:space="preserve">40</w:t>
      </w:r>
      <w:r>
        <w:t xml:space="preserve">K. All of these metals and radionuclides are naturally occurring, but may have been released during mining and milling at the mine.</w:t>
      </w:r>
    </w:p>
    <w:p>
      <w:pPr>
        <w:pStyle w:val="BodyText"/>
      </w:pPr>
      <w:r>
        <w:t xml:space="preserve">Radionuclide information is measured using the SI unit of activity, the Becquerel (Bq). This unit is defined as one radioactive decay or disintegration per second.</w:t>
      </w:r>
    </w:p>
    <w:p>
      <w:pPr>
        <w:pStyle w:val="BodyText"/>
      </w:pPr>
      <w:r>
        <w:t xml:space="preserve">The location of the mine and the surrounding region is show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flora, fauna, and soil and water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and terrestrial soil. The following map shows the collection locations of these varying sample types, near the Ranger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dataset of environmental samples has been continually gathered by the ERISS to keep track of mine contaminants in the region over space and time. The dataset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1/3 of the land in the region is forms the Kakadu National Park. Addtionally, most of the remaining land is aboriginally owned. Because of this ownership, there are concerns about the contamination of bush foods and also the contamination of flora for wild animal consumption. After mine closure, the site is to be remediated by 2026 and incorporated into Kakadu, so knowing where and to what level contaminants can be found will be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The initial dataset was made available as a .xlsx file. The only manual process was to load the file into Excel and save as a .csv file; all other data cleaning was performed using an R script. Most of the data cleanup consisted of cosmetic and convenience changes, renaming variables and setting data types. We created a variable called</w:t>
      </w:r>
      <w:r>
        <w:t xml:space="preserve"> </w:t>
      </w:r>
      <w:r>
        <w:rPr>
          <w:rStyle w:val="VerbatimChar"/>
        </w:rPr>
        <w:t xml:space="preserve">sample_type</w:t>
      </w:r>
      <w:r>
        <w:t xml:space="preserve"> </w:t>
      </w:r>
      <w:r>
        <w:t xml:space="preserve">to group samples by substrate, such as Terrestrial Plants or Fish. This is important for both our analysis and for the Shiny app.</w:t>
      </w:r>
    </w:p>
    <w:p>
      <w:pPr>
        <w:pStyle w:val="BodyText"/>
      </w:pPr>
      <w:r>
        <w:t xml:space="preserve">The dataset includes geospatial data using Easting and Northing in two different zones of a Mercator Projection. We used functions from the</w:t>
      </w:r>
      <w:r>
        <w:t xml:space="preserve"> </w:t>
      </w:r>
      <w:r>
        <w:rPr>
          <w:rStyle w:val="VerbatimChar"/>
        </w:rPr>
        <w:t xml:space="preserve">rgdal</w:t>
      </w:r>
      <w:r>
        <w:t xml:space="preserve"> </w:t>
      </w:r>
      <w:r>
        <w:t xml:space="preserve">and</w:t>
      </w:r>
      <w:r>
        <w:t xml:space="preserve"> </w:t>
      </w:r>
      <w:r>
        <w:rPr>
          <w:rStyle w:val="VerbatimChar"/>
        </w:rPr>
        <w:t xml:space="preserve">sp</w:t>
      </w:r>
      <w:r>
        <w:t xml:space="preserve"> </w:t>
      </w:r>
      <w:r>
        <w:t xml:space="preserve">packages to convert to lat-long coordinates, which we were then able to plot using</w:t>
      </w:r>
      <w:r>
        <w:t xml:space="preserve"> </w:t>
      </w:r>
      <w:r>
        <w:rPr>
          <w:rStyle w:val="VerbatimChar"/>
        </w:rPr>
        <w:t xml:space="preserve">ggplot2</w:t>
      </w:r>
      <w:r>
        <w:t xml:space="preserve">.</w:t>
      </w:r>
    </w:p>
    <w:p>
      <w:pPr>
        <w:pStyle w:val="BodyText"/>
      </w:pPr>
      <w:r>
        <w:t xml:space="preserve">A number of sample results were reported as below detection limits, in the form of "&lt;value", where value is the detection limit rather than an actual measured value. We discussed several possibilities for managing these results. We found references that directly used the LOD as a result (highly conservative), that used 0 as the result (effectively loses results), or divided the LOD by a factor (2 or</w:t>
      </w:r>
      <w:r>
        <w:t xml:space="preserve"> </w:t>
      </w:r>
      <m:oMath>
        <m:rad>
          <m:radPr>
            <m:degHide m:val="on"/>
          </m:radPr>
          <m:deg/>
          <m:e>
            <m:r>
              <m:rPr/>
              <m:t>2</m:t>
            </m:r>
          </m:e>
        </m:rad>
      </m:oMath>
      <w:r>
        <w:t xml:space="preserve">) for use as a result (could be considered arbitary). We elected to go the highly conservative route and use the LOD as the value.</w:t>
      </w:r>
    </w:p>
    <w:p>
      <w:pPr>
        <w:pStyle w:val="BodyText"/>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 While the dataset is quite robust in general, there are some limitations. For example, there are very few samples of insects available. For locations more than a few kilometers from the mine, there are not many repeat samples such that a time course could be studied. Since the primary focus was environmental samples, there does not appear to have been a concerted effort conducted to study animals and their uptake of heavy metals and radionuclides.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662f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bdb7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