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/>
      </w:r>
    </w:p>
    <w:p>
      <w:pPr>
        <w:pStyle w:val="Date"/>
      </w:pPr>
      <w:r>
        <w:t xml:space="preserve"/>
      </w:r>
    </w:p>
    <w:p>
      <w:pPr>
        <w:pStyle w:val="Heading2"/>
      </w:pPr>
      <w:bookmarkStart w:id="21" w:name="results"/>
      <w:bookmarkEnd w:id="21"/>
      <w:r>
        <w:t xml:space="preserve">Results</w:t>
      </w:r>
    </w:p>
    <w:p>
      <w:pPr>
        <w:pStyle w:val="FirstParagraph"/>
      </w:pPr>
      <w:r>
        <w:rPr>
          <w:b/>
        </w:rPr>
        <w:t xml:space="preserve">Percentages of drivers testing positive by drug type, sex, and year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</w:tbl>
    <w:p>
      <w:pPr>
        <w:pStyle w:val="BodyText"/>
      </w:pPr>
      <w:r>
        <w:rPr>
          <w:b/>
        </w:rPr>
        <w:t xml:space="preserve">Figure 1: Prevalence of nonalcoholic drugs in fatally injured drivers by year and age group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 Prevalence of nonalcoholic drugs in fatally injured drivers by year and drug type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3: Prevalence of nonalcoholic drugs in fatally injured drivers by year and age group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Prevalence of drugs in fatally injured drivers for 1999 and 2010 by drug type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16.7 % ( 16.6 %, 16.8 %)</w:t>
            </w:r>
          </w:p>
        </w:tc>
        <w:tc>
          <w:p>
            <w:pPr>
              <w:pStyle w:val="Compact"/>
              <w:jc w:val="left"/>
            </w:pPr>
            <w:r>
              <w:t xml:space="preserve">16.7 % ( 16.5 %, 16.8 %)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33.3 % ( 33.1 %, 33.6 %)</w:t>
            </w:r>
          </w:p>
        </w:tc>
        <w:tc>
          <w:p>
            <w:pPr>
              <w:pStyle w:val="Compact"/>
              <w:jc w:val="left"/>
            </w:pPr>
            <w:r>
              <w:t xml:space="preserve">33.3 % ( 33 %, 33.6 %)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50 % ( 49.5 %, 50.5 %)</w:t>
            </w:r>
          </w:p>
        </w:tc>
        <w:tc>
          <w:p>
            <w:pPr>
              <w:pStyle w:val="Compact"/>
              <w:jc w:val="left"/>
            </w:pPr>
            <w:r>
              <w:t xml:space="preserve">50 % ( 49.5 %, 50.5 %)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66.7 % ( 66.1 %, 67.2 %)</w:t>
            </w:r>
          </w:p>
        </w:tc>
        <w:tc>
          <w:p>
            <w:pPr>
              <w:pStyle w:val="Compact"/>
              <w:jc w:val="left"/>
            </w:pPr>
            <w:r>
              <w:t xml:space="preserve">66.7 % ( 66 %, 67.3 %)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83.3 % ( 82.8 %, 83.9 %)</w:t>
            </w:r>
          </w:p>
        </w:tc>
        <w:tc>
          <w:p>
            <w:pPr>
              <w:pStyle w:val="Compact"/>
              <w:jc w:val="left"/>
            </w:pPr>
            <w:r>
              <w:t xml:space="preserve">83.3 % ( 82.7 %, 84 %)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100 % ( 100 %, 100 %)</w:t>
            </w:r>
          </w:p>
        </w:tc>
        <w:tc>
          <w:p>
            <w:pPr>
              <w:pStyle w:val="Compact"/>
              <w:jc w:val="left"/>
            </w:pPr>
            <w:r>
              <w:t xml:space="preserve">100 % ( 100 %, 100 %)</w:t>
            </w:r>
          </w:p>
        </w:tc>
      </w:tr>
    </w:tbl>
    <w:p>
      <w:pPr>
        <w:pStyle w:val="BodyText"/>
      </w:pPr>
      <w:r>
        <w:rPr>
          <w:b/>
        </w:rPr>
        <w:t xml:space="preserve">Statistics for testing for trend in prevalence of drugs over study years by drug type using Cochran-Armitage trend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BodyText"/>
      </w:pPr>
      <w:r>
        <w:rPr>
          <w:b/>
        </w:rPr>
        <w:t xml:space="preserve">Statistics for testing for trend in prevalence of drugs over study years by drug type using Wald test of logistic regression coefficient for 'year'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-0.4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dab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/>
</cp:coreProperties>
</file>