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IHARQ Cumulative Layer 10</w:t>
        <w:br/>
        <w:t>Reproducibility and Presentation Package Through P01</w:t>
      </w:r>
    </w:p>
    <w:p>
      <w:pPr>
        <w:jc w:val="center"/>
      </w:pPr>
      <w:r>
        <w:rPr>
          <w:b/>
          <w:color w:val="285C8E"/>
        </w:rPr>
        <w:t>IHARQ-CUMULATIVE-LAYER10-THROUGH-P01-R1</w:t>
      </w:r>
    </w:p>
    <w:p>
      <w:pPr>
        <w:jc w:val="center"/>
      </w:pPr>
      <w:r>
        <w:rPr>
          <w:b/>
          <w:color w:val="4A8C62"/>
        </w:rPr>
        <w:t>PASS — FINALIZED AND FROZEN</w:t>
      </w:r>
    </w:p>
    <w:p>
      <w:pPr>
        <w:jc w:val="center"/>
      </w:pPr>
      <w:r>
        <w:rPr>
          <w:b w:val="0"/>
        </w:rPr>
        <w:t>Read-only rendering / presentation / reproduction authority. Evidence Map, Layer 0, Phase Analysis, Protocol, and execution evidence remain upstream authorities.</w:t>
      </w:r>
    </w:p>
    <w:p>
      <w:pPr>
        <w:pStyle w:val="Heading1"/>
      </w:pPr>
      <w:r>
        <w:t>Executive Summary</w:t>
      </w:r>
    </w:p>
    <w:p>
      <w:r>
        <w:rPr>
          <w:b w:val="0"/>
        </w:rPr>
        <w:t>P00 Layer 10 R2 is preserved. P01 Layer 10 adds governed views, cards, source-bound figures, exact tables, provenance and reproduction routes driven by the finalized cumulative Evidence Map. No scientific source value, finding, reviewed claim wording, Protocol rule, or Evidence Map relation was changed.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DDEBF7"/>
          </w:tcPr>
          <w:p>
            <w:r>
              <w:rPr>
                <w:sz w:val="16"/>
              </w:rPr>
              <w:t>Surface</w:t>
            </w:r>
          </w:p>
        </w:tc>
        <w:tc>
          <w:tcPr>
            <w:tcW w:type="dxa" w:w="5256"/>
            <w:shd w:fill="DDEBF7"/>
          </w:tcPr>
          <w:p>
            <w:r>
              <w:rPr>
                <w:sz w:val="16"/>
              </w:rPr>
              <w:t>State</w:t>
            </w:r>
          </w:p>
        </w:tc>
      </w:tr>
      <w:tr>
        <w:tc>
          <w:tcPr>
            <w:tcW w:type="dxa" w:w="5256"/>
            <w:vAlign w:val="top"/>
          </w:tcPr>
          <w:p>
            <w:r>
              <w:rPr>
                <w:sz w:val="16"/>
              </w:rPr>
              <w:t>P00 Layer 10</w:t>
            </w:r>
          </w:p>
        </w:tc>
        <w:tc>
          <w:tcPr>
            <w:tcW w:type="dxa" w:w="5256"/>
            <w:vAlign w:val="top"/>
          </w:tcPr>
          <w:p>
            <w:r>
              <w:rPr>
                <w:sz w:val="16"/>
              </w:rPr>
              <w:t>PRESERVED — 14 views / 14 cards / 14 exports</w:t>
            </w:r>
          </w:p>
        </w:tc>
      </w:tr>
      <w:tr>
        <w:tc>
          <w:tcPr>
            <w:tcW w:type="dxa" w:w="5256"/>
            <w:vAlign w:val="top"/>
          </w:tcPr>
          <w:p>
            <w:r>
              <w:rPr>
                <w:sz w:val="16"/>
              </w:rPr>
              <w:t>P01 Layer 10</w:t>
            </w:r>
          </w:p>
        </w:tc>
        <w:tc>
          <w:tcPr>
            <w:tcW w:type="dxa" w:w="5256"/>
            <w:vAlign w:val="top"/>
          </w:tcPr>
          <w:p>
            <w:r>
              <w:rPr>
                <w:sz w:val="16"/>
              </w:rPr>
              <w:t>COMPLETE — 20 views / 12 cards / 11 figures / 14 tables</w:t>
            </w:r>
          </w:p>
        </w:tc>
      </w:tr>
      <w:tr>
        <w:tc>
          <w:tcPr>
            <w:tcW w:type="dxa" w:w="5256"/>
            <w:vAlign w:val="top"/>
          </w:tcPr>
          <w:p>
            <w:r>
              <w:rPr>
                <w:sz w:val="16"/>
              </w:rPr>
              <w:t>A4</w:t>
            </w:r>
          </w:p>
        </w:tc>
        <w:tc>
          <w:tcPr>
            <w:tcW w:type="dxa" w:w="5256"/>
            <w:vAlign w:val="top"/>
          </w:tcPr>
          <w:p>
            <w:r>
              <w:rPr>
                <w:sz w:val="16"/>
              </w:rPr>
              <w:t>Substrate readiness only; effectiveness not evaluated in P01</w:t>
            </w:r>
          </w:p>
        </w:tc>
      </w:tr>
      <w:tr>
        <w:tc>
          <w:tcPr>
            <w:tcW w:type="dxa" w:w="5256"/>
            <w:vAlign w:val="top"/>
          </w:tcPr>
          <w:p>
            <w:r>
              <w:rPr>
                <w:sz w:val="16"/>
              </w:rPr>
              <w:t>A14</w:t>
            </w:r>
          </w:p>
        </w:tc>
        <w:tc>
          <w:tcPr>
            <w:tcW w:type="dxa" w:w="5256"/>
            <w:vAlign w:val="top"/>
          </w:tcPr>
          <w:p>
            <w:r>
              <w:rPr>
                <w:sz w:val="16"/>
              </w:rPr>
              <w:t>ABSENT / PROHIBITED</w:t>
            </w:r>
          </w:p>
        </w:tc>
      </w:tr>
      <w:tr>
        <w:tc>
          <w:tcPr>
            <w:tcW w:type="dxa" w:w="5256"/>
            <w:vAlign w:val="top"/>
          </w:tcPr>
          <w:p>
            <w:r>
              <w:rPr>
                <w:sz w:val="16"/>
              </w:rPr>
              <w:t>Negative evidence</w:t>
            </w:r>
          </w:p>
        </w:tc>
        <w:tc>
          <w:tcPr>
            <w:tcW w:type="dxa" w:w="5256"/>
            <w:vAlign w:val="top"/>
          </w:tcPr>
          <w:p>
            <w:r>
              <w:rPr>
                <w:sz w:val="16"/>
              </w:rPr>
              <w:t>VISIBLE</w:t>
            </w:r>
          </w:p>
        </w:tc>
      </w:tr>
      <w:tr>
        <w:tc>
          <w:tcPr>
            <w:tcW w:type="dxa" w:w="5256"/>
            <w:vAlign w:val="top"/>
          </w:tcPr>
          <w:p>
            <w:r>
              <w:rPr>
                <w:sz w:val="16"/>
              </w:rPr>
              <w:t>Next step</w:t>
            </w:r>
          </w:p>
        </w:tc>
        <w:tc>
          <w:tcPr>
            <w:tcW w:type="dxa" w:w="5256"/>
            <w:vAlign w:val="top"/>
          </w:tcPr>
          <w:p>
            <w:r>
              <w:rPr>
                <w:sz w:val="16"/>
              </w:rPr>
              <w:t>Final P01 whole-stack synchronization / closure / P02 authorization review</w:t>
            </w:r>
          </w:p>
        </w:tc>
      </w:tr>
    </w:tbl>
    <w:p>
      <w:pPr>
        <w:pStyle w:val="Heading1"/>
      </w:pPr>
      <w:r>
        <w:t>1. Authority and Read-Only Contract</w:t>
      </w:r>
    </w:p>
    <w:p>
      <w:r>
        <w:rPr>
          <w:b w:val="0"/>
        </w:rPr>
        <w:t>Conceptual chain: Layer 0 reviewed claim → Evidence Map → Layer 10 rendering. Layer 10 may render, format, cross-reference, package and export; it may not recompute, retune, reclassify, strengthen, or rewrite evidence.</w:t>
      </w:r>
    </w:p>
    <w:p>
      <w:pPr>
        <w:pStyle w:val="Heading1"/>
      </w:pPr>
      <w:r>
        <w:t>2. P00 Preservation</w:t>
      </w:r>
    </w:p>
    <w:p>
      <w:r>
        <w:rPr>
          <w:b w:val="0"/>
        </w:rPr>
        <w:t>P00-BASIC-LAYER10-PACKAGE-R2 is embedded under preserved_p00_layer10/. 60 predecessor release-manifest file hashes were verified with zero failures. Existing P00 warning parity, negative visibility and read-only semantics are preserved.</w:t>
      </w:r>
    </w:p>
    <w:p>
      <w:pPr>
        <w:pStyle w:val="Heading1"/>
      </w:pPr>
      <w:r>
        <w:t>3. P01 Source Inventory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502"/>
            <w:shd w:fill="DDEBF7"/>
          </w:tcPr>
          <w:p>
            <w:r>
              <w:rPr>
                <w:sz w:val="14"/>
              </w:rPr>
              <w:t>dataset</w:t>
            </w:r>
          </w:p>
        </w:tc>
        <w:tc>
          <w:tcPr>
            <w:tcW w:type="dxa" w:w="1502"/>
            <w:shd w:fill="DDEBF7"/>
          </w:tcPr>
          <w:p>
            <w:r>
              <w:rPr>
                <w:sz w:val="14"/>
              </w:rPr>
              <w:t>subjects</w:t>
            </w:r>
          </w:p>
        </w:tc>
        <w:tc>
          <w:tcPr>
            <w:tcW w:type="dxa" w:w="1502"/>
            <w:shd w:fill="DDEBF7"/>
          </w:tcPr>
          <w:p>
            <w:r>
              <w:rPr>
                <w:sz w:val="14"/>
              </w:rPr>
              <w:t>source_files</w:t>
            </w:r>
          </w:p>
        </w:tc>
        <w:tc>
          <w:tcPr>
            <w:tcW w:type="dxa" w:w="1502"/>
            <w:shd w:fill="DDEBF7"/>
          </w:tcPr>
          <w:p>
            <w:r>
              <w:rPr>
                <w:sz w:val="14"/>
              </w:rPr>
              <w:t>source_events</w:t>
            </w:r>
          </w:p>
        </w:tc>
        <w:tc>
          <w:tcPr>
            <w:tcW w:type="dxa" w:w="1502"/>
            <w:shd w:fill="DDEBF7"/>
          </w:tcPr>
          <w:p>
            <w:r>
              <w:rPr>
                <w:sz w:val="14"/>
              </w:rPr>
              <w:t>accepted_events</w:t>
            </w:r>
          </w:p>
        </w:tc>
        <w:tc>
          <w:tcPr>
            <w:tcW w:type="dxa" w:w="1502"/>
            <w:shd w:fill="DDEBF7"/>
          </w:tcPr>
          <w:p>
            <w:r>
              <w:rPr>
                <w:sz w:val="14"/>
              </w:rPr>
              <w:t>source_hz</w:t>
            </w:r>
          </w:p>
        </w:tc>
        <w:tc>
          <w:tcPr>
            <w:tcW w:type="dxa" w:w="1502"/>
            <w:shd w:fill="DDEBF7"/>
          </w:tcPr>
          <w:p>
            <w:r>
              <w:rPr>
                <w:sz w:val="14"/>
              </w:rPr>
              <w:t>license</w:t>
            </w:r>
          </w:p>
        </w:tc>
      </w:tr>
      <w:tr>
        <w:tc>
          <w:tcPr>
            <w:tcW w:type="dxa" w:w="1502"/>
            <w:vAlign w:val="top"/>
          </w:tcPr>
          <w:p>
            <w:r>
              <w:rPr>
                <w:sz w:val="14"/>
              </w:rPr>
              <w:t>PhysioNetMI</w:t>
            </w:r>
          </w:p>
        </w:tc>
        <w:tc>
          <w:tcPr>
            <w:tcW w:type="dxa" w:w="1502"/>
            <w:vAlign w:val="top"/>
          </w:tcPr>
          <w:p>
            <w:r>
              <w:rPr>
                <w:sz w:val="14"/>
              </w:rPr>
              <w:t>109</w:t>
            </w:r>
          </w:p>
        </w:tc>
        <w:tc>
          <w:tcPr>
            <w:tcW w:type="dxa" w:w="1502"/>
            <w:vAlign w:val="top"/>
          </w:tcPr>
          <w:p>
            <w:r>
              <w:rPr>
                <w:sz w:val="14"/>
              </w:rPr>
              <w:t>327</w:t>
            </w:r>
          </w:p>
        </w:tc>
        <w:tc>
          <w:tcPr>
            <w:tcW w:type="dxa" w:w="1502"/>
            <w:vAlign w:val="top"/>
          </w:tcPr>
          <w:p>
            <w:r>
              <w:rPr>
                <w:sz w:val="14"/>
              </w:rPr>
              <w:t>9509</w:t>
            </w:r>
          </w:p>
        </w:tc>
        <w:tc>
          <w:tcPr>
            <w:tcW w:type="dxa" w:w="1502"/>
            <w:vAlign w:val="top"/>
          </w:tcPr>
          <w:p>
            <w:r>
              <w:rPr>
                <w:sz w:val="14"/>
              </w:rPr>
              <w:t>4918</w:t>
            </w:r>
          </w:p>
        </w:tc>
        <w:tc>
          <w:tcPr>
            <w:tcW w:type="dxa" w:w="1502"/>
            <w:vAlign w:val="top"/>
          </w:tcPr>
          <w:p>
            <w:r>
              <w:rPr>
                <w:sz w:val="14"/>
              </w:rPr>
              <w:t>128, 160</w:t>
            </w:r>
          </w:p>
        </w:tc>
        <w:tc>
          <w:tcPr>
            <w:tcW w:type="dxa" w:w="1502"/>
            <w:vAlign w:val="top"/>
          </w:tcPr>
          <w:p>
            <w:r>
              <w:rPr>
                <w:sz w:val="14"/>
              </w:rPr>
              <w:t>ODC-By-1.0</w:t>
            </w:r>
          </w:p>
        </w:tc>
      </w:tr>
      <w:tr>
        <w:tc>
          <w:tcPr>
            <w:tcW w:type="dxa" w:w="1502"/>
            <w:vAlign w:val="top"/>
          </w:tcPr>
          <w:p>
            <w:r>
              <w:rPr>
                <w:sz w:val="14"/>
              </w:rPr>
              <w:t>BNCI2014_001</w:t>
            </w:r>
          </w:p>
        </w:tc>
        <w:tc>
          <w:tcPr>
            <w:tcW w:type="dxa" w:w="1502"/>
            <w:vAlign w:val="top"/>
          </w:tcPr>
          <w:p>
            <w:r>
              <w:rPr>
                <w:sz w:val="14"/>
              </w:rPr>
              <w:t>9</w:t>
            </w:r>
          </w:p>
        </w:tc>
        <w:tc>
          <w:tcPr>
            <w:tcW w:type="dxa" w:w="1502"/>
            <w:vAlign w:val="top"/>
          </w:tcPr>
          <w:p>
            <w:r>
              <w:rPr>
                <w:sz w:val="14"/>
              </w:rPr>
              <w:t>18</w:t>
            </w:r>
          </w:p>
        </w:tc>
        <w:tc>
          <w:tcPr>
            <w:tcW w:type="dxa" w:w="1502"/>
            <w:vAlign w:val="top"/>
          </w:tcPr>
          <w:p>
            <w:r>
              <w:rPr>
                <w:sz w:val="14"/>
              </w:rPr>
              <w:t>5184</w:t>
            </w:r>
          </w:p>
        </w:tc>
        <w:tc>
          <w:tcPr>
            <w:tcW w:type="dxa" w:w="1502"/>
            <w:vAlign w:val="top"/>
          </w:tcPr>
          <w:p>
            <w:r>
              <w:rPr>
                <w:sz w:val="14"/>
              </w:rPr>
              <w:t>2592</w:t>
            </w:r>
          </w:p>
        </w:tc>
        <w:tc>
          <w:tcPr>
            <w:tcW w:type="dxa" w:w="1502"/>
            <w:vAlign w:val="top"/>
          </w:tcPr>
          <w:p>
            <w:r>
              <w:rPr>
                <w:sz w:val="14"/>
              </w:rPr>
              <w:t>250</w:t>
            </w:r>
          </w:p>
        </w:tc>
        <w:tc>
          <w:tcPr>
            <w:tcW w:type="dxa" w:w="1502"/>
            <w:vAlign w:val="top"/>
          </w:tcPr>
          <w:p>
            <w:r>
              <w:rPr>
                <w:sz w:val="14"/>
              </w:rPr>
              <w:t>CC BY-ND 4.0</w:t>
            </w:r>
          </w:p>
        </w:tc>
      </w:tr>
      <w:tr>
        <w:tc>
          <w:tcPr>
            <w:tcW w:type="dxa" w:w="1502"/>
            <w:vAlign w:val="top"/>
          </w:tcPr>
          <w:p>
            <w:r>
              <w:rPr>
                <w:sz w:val="14"/>
              </w:rPr>
              <w:t>Lee2019_MI</w:t>
            </w:r>
          </w:p>
        </w:tc>
        <w:tc>
          <w:tcPr>
            <w:tcW w:type="dxa" w:w="1502"/>
            <w:vAlign w:val="top"/>
          </w:tcPr>
          <w:p>
            <w:r>
              <w:rPr>
                <w:sz w:val="14"/>
              </w:rPr>
              <w:t>54</w:t>
            </w:r>
          </w:p>
        </w:tc>
        <w:tc>
          <w:tcPr>
            <w:tcW w:type="dxa" w:w="1502"/>
            <w:vAlign w:val="top"/>
          </w:tcPr>
          <w:p>
            <w:r>
              <w:rPr>
                <w:sz w:val="14"/>
              </w:rPr>
              <w:t>108</w:t>
            </w:r>
          </w:p>
        </w:tc>
        <w:tc>
          <w:tcPr>
            <w:tcW w:type="dxa" w:w="1502"/>
            <w:vAlign w:val="top"/>
          </w:tcPr>
          <w:p>
            <w:r>
              <w:rPr>
                <w:sz w:val="14"/>
              </w:rPr>
              <w:t>5400</w:t>
            </w:r>
          </w:p>
        </w:tc>
        <w:tc>
          <w:tcPr>
            <w:tcW w:type="dxa" w:w="1502"/>
            <w:vAlign w:val="top"/>
          </w:tcPr>
          <w:p>
            <w:r>
              <w:rPr>
                <w:sz w:val="14"/>
              </w:rPr>
              <w:t>5400</w:t>
            </w:r>
          </w:p>
        </w:tc>
        <w:tc>
          <w:tcPr>
            <w:tcW w:type="dxa" w:w="1502"/>
            <w:vAlign w:val="top"/>
          </w:tcPr>
          <w:p>
            <w:r>
              <w:rPr>
                <w:sz w:val="14"/>
              </w:rPr>
              <w:t>1000</w:t>
            </w:r>
          </w:p>
        </w:tc>
        <w:tc>
          <w:tcPr>
            <w:tcW w:type="dxa" w:w="1502"/>
            <w:vAlign w:val="top"/>
          </w:tcPr>
          <w:p>
            <w:r>
              <w:rPr>
                <w:sz w:val="14"/>
              </w:rPr>
              <w:t>GPL-3.0 (maintained source card)</w:t>
            </w:r>
          </w:p>
        </w:tc>
      </w:tr>
    </w:tbl>
    <w:p>
      <w:pPr>
        <w:pStyle w:val="Heading1"/>
      </w:pPr>
      <w:r>
        <w:t>4. Subject-Grouped Split</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51"/>
            <w:shd w:fill="DDEBF7"/>
          </w:tcPr>
          <w:p>
            <w:r>
              <w:rPr>
                <w:sz w:val="13"/>
              </w:rPr>
              <w:t>dataset</w:t>
            </w:r>
          </w:p>
        </w:tc>
        <w:tc>
          <w:tcPr>
            <w:tcW w:type="dxa" w:w="1051"/>
            <w:shd w:fill="DDEBF7"/>
          </w:tcPr>
          <w:p>
            <w:r>
              <w:rPr>
                <w:sz w:val="13"/>
              </w:rPr>
              <w:t>subjects</w:t>
            </w:r>
          </w:p>
        </w:tc>
        <w:tc>
          <w:tcPr>
            <w:tcW w:type="dxa" w:w="1051"/>
            <w:shd w:fill="DDEBF7"/>
          </w:tcPr>
          <w:p>
            <w:r>
              <w:rPr>
                <w:sz w:val="13"/>
              </w:rPr>
              <w:t>train_subjects</w:t>
            </w:r>
          </w:p>
        </w:tc>
        <w:tc>
          <w:tcPr>
            <w:tcW w:type="dxa" w:w="1051"/>
            <w:shd w:fill="DDEBF7"/>
          </w:tcPr>
          <w:p>
            <w:r>
              <w:rPr>
                <w:sz w:val="13"/>
              </w:rPr>
              <w:t>cal_subjects</w:t>
            </w:r>
          </w:p>
        </w:tc>
        <w:tc>
          <w:tcPr>
            <w:tcW w:type="dxa" w:w="1051"/>
            <w:shd w:fill="DDEBF7"/>
          </w:tcPr>
          <w:p>
            <w:r>
              <w:rPr>
                <w:sz w:val="13"/>
              </w:rPr>
              <w:t>val_subjects</w:t>
            </w:r>
          </w:p>
        </w:tc>
        <w:tc>
          <w:tcPr>
            <w:tcW w:type="dxa" w:w="1051"/>
            <w:shd w:fill="DDEBF7"/>
          </w:tcPr>
          <w:p>
            <w:r>
              <w:rPr>
                <w:sz w:val="13"/>
              </w:rPr>
              <w:t>test_subjects</w:t>
            </w:r>
          </w:p>
        </w:tc>
        <w:tc>
          <w:tcPr>
            <w:tcW w:type="dxa" w:w="1051"/>
            <w:shd w:fill="DDEBF7"/>
          </w:tcPr>
          <w:p>
            <w:r>
              <w:rPr>
                <w:sz w:val="13"/>
              </w:rPr>
              <w:t>train_windows</w:t>
            </w:r>
          </w:p>
        </w:tc>
        <w:tc>
          <w:tcPr>
            <w:tcW w:type="dxa" w:w="1051"/>
            <w:shd w:fill="DDEBF7"/>
          </w:tcPr>
          <w:p>
            <w:r>
              <w:rPr>
                <w:sz w:val="13"/>
              </w:rPr>
              <w:t>cal_windows</w:t>
            </w:r>
          </w:p>
        </w:tc>
        <w:tc>
          <w:tcPr>
            <w:tcW w:type="dxa" w:w="1051"/>
            <w:shd w:fill="DDEBF7"/>
          </w:tcPr>
          <w:p>
            <w:r>
              <w:rPr>
                <w:sz w:val="13"/>
              </w:rPr>
              <w:t>val_windows</w:t>
            </w:r>
          </w:p>
        </w:tc>
        <w:tc>
          <w:tcPr>
            <w:tcW w:type="dxa" w:w="1051"/>
            <w:shd w:fill="DDEBF7"/>
          </w:tcPr>
          <w:p>
            <w:r>
              <w:rPr>
                <w:sz w:val="13"/>
              </w:rPr>
              <w:t>test_windows</w:t>
            </w:r>
          </w:p>
        </w:tc>
      </w:tr>
      <w:tr>
        <w:tc>
          <w:tcPr>
            <w:tcW w:type="dxa" w:w="1051"/>
            <w:vAlign w:val="top"/>
          </w:tcPr>
          <w:p>
            <w:r>
              <w:rPr>
                <w:sz w:val="13"/>
              </w:rPr>
              <w:t>PhysioNetMI</w:t>
            </w:r>
          </w:p>
        </w:tc>
        <w:tc>
          <w:tcPr>
            <w:tcW w:type="dxa" w:w="1051"/>
            <w:vAlign w:val="top"/>
          </w:tcPr>
          <w:p>
            <w:r>
              <w:rPr>
                <w:sz w:val="13"/>
              </w:rPr>
              <w:t>109</w:t>
            </w:r>
          </w:p>
        </w:tc>
        <w:tc>
          <w:tcPr>
            <w:tcW w:type="dxa" w:w="1051"/>
            <w:vAlign w:val="top"/>
          </w:tcPr>
          <w:p>
            <w:r>
              <w:rPr>
                <w:sz w:val="13"/>
              </w:rPr>
              <w:t>65</w:t>
            </w:r>
          </w:p>
        </w:tc>
        <w:tc>
          <w:tcPr>
            <w:tcW w:type="dxa" w:w="1051"/>
            <w:vAlign w:val="top"/>
          </w:tcPr>
          <w:p>
            <w:r>
              <w:rPr>
                <w:sz w:val="13"/>
              </w:rPr>
              <w:t>22</w:t>
            </w:r>
          </w:p>
        </w:tc>
        <w:tc>
          <w:tcPr>
            <w:tcW w:type="dxa" w:w="1051"/>
            <w:vAlign w:val="top"/>
          </w:tcPr>
          <w:p>
            <w:r>
              <w:rPr>
                <w:sz w:val="13"/>
              </w:rPr>
              <w:t>11</w:t>
            </w:r>
          </w:p>
        </w:tc>
        <w:tc>
          <w:tcPr>
            <w:tcW w:type="dxa" w:w="1051"/>
            <w:vAlign w:val="top"/>
          </w:tcPr>
          <w:p>
            <w:r>
              <w:rPr>
                <w:sz w:val="13"/>
              </w:rPr>
              <w:t>11</w:t>
            </w:r>
          </w:p>
        </w:tc>
        <w:tc>
          <w:tcPr>
            <w:tcW w:type="dxa" w:w="1051"/>
            <w:vAlign w:val="top"/>
          </w:tcPr>
          <w:p>
            <w:r>
              <w:rPr>
                <w:sz w:val="13"/>
              </w:rPr>
              <w:t>2949</w:t>
            </w:r>
          </w:p>
        </w:tc>
        <w:tc>
          <w:tcPr>
            <w:tcW w:type="dxa" w:w="1051"/>
            <w:vAlign w:val="top"/>
          </w:tcPr>
          <w:p>
            <w:r>
              <w:rPr>
                <w:sz w:val="13"/>
              </w:rPr>
              <w:t>979</w:t>
            </w:r>
          </w:p>
        </w:tc>
        <w:tc>
          <w:tcPr>
            <w:tcW w:type="dxa" w:w="1051"/>
            <w:vAlign w:val="top"/>
          </w:tcPr>
          <w:p>
            <w:r>
              <w:rPr>
                <w:sz w:val="13"/>
              </w:rPr>
              <w:t>495</w:t>
            </w:r>
          </w:p>
        </w:tc>
        <w:tc>
          <w:tcPr>
            <w:tcW w:type="dxa" w:w="1051"/>
            <w:vAlign w:val="top"/>
          </w:tcPr>
          <w:p>
            <w:r>
              <w:rPr>
                <w:sz w:val="13"/>
              </w:rPr>
              <w:t>495</w:t>
            </w:r>
          </w:p>
        </w:tc>
      </w:tr>
      <w:tr>
        <w:tc>
          <w:tcPr>
            <w:tcW w:type="dxa" w:w="1051"/>
            <w:vAlign w:val="top"/>
          </w:tcPr>
          <w:p>
            <w:r>
              <w:rPr>
                <w:sz w:val="13"/>
              </w:rPr>
              <w:t>BNCI2014_001</w:t>
            </w:r>
          </w:p>
        </w:tc>
        <w:tc>
          <w:tcPr>
            <w:tcW w:type="dxa" w:w="1051"/>
            <w:vAlign w:val="top"/>
          </w:tcPr>
          <w:p>
            <w:r>
              <w:rPr>
                <w:sz w:val="13"/>
              </w:rPr>
              <w:t>9</w:t>
            </w:r>
          </w:p>
        </w:tc>
        <w:tc>
          <w:tcPr>
            <w:tcW w:type="dxa" w:w="1051"/>
            <w:vAlign w:val="top"/>
          </w:tcPr>
          <w:p>
            <w:r>
              <w:rPr>
                <w:sz w:val="13"/>
              </w:rPr>
              <w:t>5</w:t>
            </w:r>
          </w:p>
        </w:tc>
        <w:tc>
          <w:tcPr>
            <w:tcW w:type="dxa" w:w="1051"/>
            <w:vAlign w:val="top"/>
          </w:tcPr>
          <w:p>
            <w:r>
              <w:rPr>
                <w:sz w:val="13"/>
              </w:rPr>
              <w:t>2</w:t>
            </w:r>
          </w:p>
        </w:tc>
        <w:tc>
          <w:tcPr>
            <w:tcW w:type="dxa" w:w="1051"/>
            <w:vAlign w:val="top"/>
          </w:tcPr>
          <w:p>
            <w:r>
              <w:rPr>
                <w:sz w:val="13"/>
              </w:rPr>
              <w:t>1</w:t>
            </w:r>
          </w:p>
        </w:tc>
        <w:tc>
          <w:tcPr>
            <w:tcW w:type="dxa" w:w="1051"/>
            <w:vAlign w:val="top"/>
          </w:tcPr>
          <w:p>
            <w:r>
              <w:rPr>
                <w:sz w:val="13"/>
              </w:rPr>
              <w:t>1</w:t>
            </w:r>
          </w:p>
        </w:tc>
        <w:tc>
          <w:tcPr>
            <w:tcW w:type="dxa" w:w="1051"/>
            <w:vAlign w:val="top"/>
          </w:tcPr>
          <w:p>
            <w:r>
              <w:rPr>
                <w:sz w:val="13"/>
              </w:rPr>
              <w:t>1440</w:t>
            </w:r>
          </w:p>
        </w:tc>
        <w:tc>
          <w:tcPr>
            <w:tcW w:type="dxa" w:w="1051"/>
            <w:vAlign w:val="top"/>
          </w:tcPr>
          <w:p>
            <w:r>
              <w:rPr>
                <w:sz w:val="13"/>
              </w:rPr>
              <w:t>576</w:t>
            </w:r>
          </w:p>
        </w:tc>
        <w:tc>
          <w:tcPr>
            <w:tcW w:type="dxa" w:w="1051"/>
            <w:vAlign w:val="top"/>
          </w:tcPr>
          <w:p>
            <w:r>
              <w:rPr>
                <w:sz w:val="13"/>
              </w:rPr>
              <w:t>288</w:t>
            </w:r>
          </w:p>
        </w:tc>
        <w:tc>
          <w:tcPr>
            <w:tcW w:type="dxa" w:w="1051"/>
            <w:vAlign w:val="top"/>
          </w:tcPr>
          <w:p>
            <w:r>
              <w:rPr>
                <w:sz w:val="13"/>
              </w:rPr>
              <w:t>288</w:t>
            </w:r>
          </w:p>
        </w:tc>
      </w:tr>
      <w:tr>
        <w:tc>
          <w:tcPr>
            <w:tcW w:type="dxa" w:w="1051"/>
            <w:vAlign w:val="top"/>
          </w:tcPr>
          <w:p>
            <w:r>
              <w:rPr>
                <w:sz w:val="13"/>
              </w:rPr>
              <w:t>Lee2019_MI</w:t>
            </w:r>
          </w:p>
        </w:tc>
        <w:tc>
          <w:tcPr>
            <w:tcW w:type="dxa" w:w="1051"/>
            <w:vAlign w:val="top"/>
          </w:tcPr>
          <w:p>
            <w:r>
              <w:rPr>
                <w:sz w:val="13"/>
              </w:rPr>
              <w:t>54</w:t>
            </w:r>
          </w:p>
        </w:tc>
        <w:tc>
          <w:tcPr>
            <w:tcW w:type="dxa" w:w="1051"/>
            <w:vAlign w:val="top"/>
          </w:tcPr>
          <w:p>
            <w:r>
              <w:rPr>
                <w:sz w:val="13"/>
              </w:rPr>
              <w:t>32</w:t>
            </w:r>
          </w:p>
        </w:tc>
        <w:tc>
          <w:tcPr>
            <w:tcW w:type="dxa" w:w="1051"/>
            <w:vAlign w:val="top"/>
          </w:tcPr>
          <w:p>
            <w:r>
              <w:rPr>
                <w:sz w:val="13"/>
              </w:rPr>
              <w:t>11</w:t>
            </w:r>
          </w:p>
        </w:tc>
        <w:tc>
          <w:tcPr>
            <w:tcW w:type="dxa" w:w="1051"/>
            <w:vAlign w:val="top"/>
          </w:tcPr>
          <w:p>
            <w:r>
              <w:rPr>
                <w:sz w:val="13"/>
              </w:rPr>
              <w:t>5</w:t>
            </w:r>
          </w:p>
        </w:tc>
        <w:tc>
          <w:tcPr>
            <w:tcW w:type="dxa" w:w="1051"/>
            <w:vAlign w:val="top"/>
          </w:tcPr>
          <w:p>
            <w:r>
              <w:rPr>
                <w:sz w:val="13"/>
              </w:rPr>
              <w:t>6</w:t>
            </w:r>
          </w:p>
        </w:tc>
        <w:tc>
          <w:tcPr>
            <w:tcW w:type="dxa" w:w="1051"/>
            <w:vAlign w:val="top"/>
          </w:tcPr>
          <w:p>
            <w:r>
              <w:rPr>
                <w:sz w:val="13"/>
              </w:rPr>
              <w:t>3200</w:t>
            </w:r>
          </w:p>
        </w:tc>
        <w:tc>
          <w:tcPr>
            <w:tcW w:type="dxa" w:w="1051"/>
            <w:vAlign w:val="top"/>
          </w:tcPr>
          <w:p>
            <w:r>
              <w:rPr>
                <w:sz w:val="13"/>
              </w:rPr>
              <w:t>1100</w:t>
            </w:r>
          </w:p>
        </w:tc>
        <w:tc>
          <w:tcPr>
            <w:tcW w:type="dxa" w:w="1051"/>
            <w:vAlign w:val="top"/>
          </w:tcPr>
          <w:p>
            <w:r>
              <w:rPr>
                <w:sz w:val="13"/>
              </w:rPr>
              <w:t>500</w:t>
            </w:r>
          </w:p>
        </w:tc>
        <w:tc>
          <w:tcPr>
            <w:tcW w:type="dxa" w:w="1051"/>
            <w:vAlign w:val="top"/>
          </w:tcPr>
          <w:p>
            <w:r>
              <w:rPr>
                <w:sz w:val="13"/>
              </w:rPr>
              <w:t>600</w:t>
            </w:r>
          </w:p>
        </w:tc>
      </w:tr>
    </w:tbl>
    <w:p>
      <w:r>
        <w:rPr>
          <w:b/>
          <w:color w:val="A94442"/>
        </w:rPr>
        <w:t>Mandatory warning: leakage conclusion is bounded to the implemented registered checks.</w:t>
      </w:r>
    </w:p>
    <w:p>
      <w:pPr>
        <w:pStyle w:val="Heading1"/>
      </w:pPr>
      <w:r>
        <w:t>5. Frozen Preprocessing Contract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DDEBF7"/>
          </w:tcPr>
          <w:p>
            <w:r>
              <w:rPr>
                <w:sz w:val="14"/>
              </w:rPr>
              <w:t>Order</w:t>
            </w:r>
          </w:p>
        </w:tc>
        <w:tc>
          <w:tcPr>
            <w:tcW w:type="dxa" w:w="3504"/>
            <w:shd w:fill="DDEBF7"/>
          </w:tcPr>
          <w:p>
            <w:r>
              <w:rPr>
                <w:sz w:val="14"/>
              </w:rPr>
              <w:t>Step</w:t>
            </w:r>
          </w:p>
        </w:tc>
        <w:tc>
          <w:tcPr>
            <w:tcW w:type="dxa" w:w="3504"/>
            <w:shd w:fill="DDEBF7"/>
          </w:tcPr>
          <w:p>
            <w:r>
              <w:rPr>
                <w:sz w:val="14"/>
              </w:rPr>
              <w:t>Contract</w:t>
            </w:r>
          </w:p>
        </w:tc>
      </w:tr>
      <w:tr>
        <w:tc>
          <w:tcPr>
            <w:tcW w:type="dxa" w:w="3504"/>
            <w:vAlign w:val="top"/>
          </w:tcPr>
          <w:p>
            <w:r>
              <w:rPr>
                <w:sz w:val="14"/>
              </w:rPr>
              <w:t>1</w:t>
            </w:r>
          </w:p>
        </w:tc>
        <w:tc>
          <w:tcPr>
            <w:tcW w:type="dxa" w:w="3504"/>
            <w:vAlign w:val="top"/>
          </w:tcPr>
          <w:p>
            <w:r>
              <w:rPr>
                <w:sz w:val="14"/>
              </w:rPr>
              <w:t>Source-unit validation</w:t>
            </w:r>
          </w:p>
        </w:tc>
        <w:tc>
          <w:tcPr>
            <w:tcW w:type="dxa" w:w="3504"/>
            <w:vAlign w:val="top"/>
          </w:tcPr>
          <w:p>
            <w:r>
              <w:rPr>
                <w:sz w:val="14"/>
              </w:rPr>
              <w:t>Preserve provider units/metadata; reject unresolved unit ambiguity</w:t>
            </w:r>
          </w:p>
        </w:tc>
      </w:tr>
      <w:tr>
        <w:tc>
          <w:tcPr>
            <w:tcW w:type="dxa" w:w="3504"/>
            <w:vAlign w:val="top"/>
          </w:tcPr>
          <w:p>
            <w:r>
              <w:rPr>
                <w:sz w:val="14"/>
              </w:rPr>
              <w:t>2</w:t>
            </w:r>
          </w:p>
        </w:tc>
        <w:tc>
          <w:tcPr>
            <w:tcW w:type="dxa" w:w="3504"/>
            <w:vAlign w:val="top"/>
          </w:tcPr>
          <w:p>
            <w:r>
              <w:rPr>
                <w:sz w:val="14"/>
              </w:rPr>
              <w:t>EEG selection</w:t>
            </w:r>
          </w:p>
        </w:tc>
        <w:tc>
          <w:tcPr>
            <w:tcW w:type="dxa" w:w="3504"/>
            <w:vAlign w:val="top"/>
          </w:tcPr>
          <w:p>
            <w:r>
              <w:rPr>
                <w:sz w:val="14"/>
              </w:rPr>
              <w:t>EEG-only branch; no non-EEG channels in official core</w:t>
            </w:r>
          </w:p>
        </w:tc>
      </w:tr>
      <w:tr>
        <w:tc>
          <w:tcPr>
            <w:tcW w:type="dxa" w:w="3504"/>
            <w:vAlign w:val="top"/>
          </w:tcPr>
          <w:p>
            <w:r>
              <w:rPr>
                <w:sz w:val="14"/>
              </w:rPr>
              <w:t>3</w:t>
            </w:r>
          </w:p>
        </w:tc>
        <w:tc>
          <w:tcPr>
            <w:tcW w:type="dxa" w:w="3504"/>
            <w:vAlign w:val="top"/>
          </w:tcPr>
          <w:p>
            <w:r>
              <w:rPr>
                <w:sz w:val="14"/>
              </w:rPr>
              <w:t>Demeaning</w:t>
            </w:r>
          </w:p>
        </w:tc>
        <w:tc>
          <w:tcPr>
            <w:tcW w:type="dxa" w:w="3504"/>
            <w:vAlign w:val="top"/>
          </w:tcPr>
          <w:p>
            <w:r>
              <w:rPr>
                <w:sz w:val="14"/>
              </w:rPr>
              <w:t>Continuous-run demeaning before event window extraction</w:t>
            </w:r>
          </w:p>
        </w:tc>
      </w:tr>
      <w:tr>
        <w:tc>
          <w:tcPr>
            <w:tcW w:type="dxa" w:w="3504"/>
            <w:vAlign w:val="top"/>
          </w:tcPr>
          <w:p>
            <w:r>
              <w:rPr>
                <w:sz w:val="14"/>
              </w:rPr>
              <w:t>4</w:t>
            </w:r>
          </w:p>
        </w:tc>
        <w:tc>
          <w:tcPr>
            <w:tcW w:type="dxa" w:w="3504"/>
            <w:vAlign w:val="top"/>
          </w:tcPr>
          <w:p>
            <w:r>
              <w:rPr>
                <w:sz w:val="14"/>
              </w:rPr>
              <w:t>Average reference</w:t>
            </w:r>
          </w:p>
        </w:tc>
        <w:tc>
          <w:tcPr>
            <w:tcW w:type="dxa" w:w="3504"/>
            <w:vAlign w:val="top"/>
          </w:tcPr>
          <w:p>
            <w:r>
              <w:rPr>
                <w:sz w:val="14"/>
              </w:rPr>
              <w:t>Continuous-run average reference</w:t>
            </w:r>
          </w:p>
        </w:tc>
      </w:tr>
      <w:tr>
        <w:tc>
          <w:tcPr>
            <w:tcW w:type="dxa" w:w="3504"/>
            <w:vAlign w:val="top"/>
          </w:tcPr>
          <w:p>
            <w:r>
              <w:rPr>
                <w:sz w:val="14"/>
              </w:rPr>
              <w:t>5</w:t>
            </w:r>
          </w:p>
        </w:tc>
        <w:tc>
          <w:tcPr>
            <w:tcW w:type="dxa" w:w="3504"/>
            <w:vAlign w:val="top"/>
          </w:tcPr>
          <w:p>
            <w:r>
              <w:rPr>
                <w:sz w:val="14"/>
              </w:rPr>
              <w:t>Joint resampling</w:t>
            </w:r>
          </w:p>
        </w:tc>
        <w:tc>
          <w:tcPr>
            <w:tcW w:type="dxa" w:w="3504"/>
            <w:vAlign w:val="top"/>
          </w:tcPr>
          <w:p>
            <w:r>
              <w:rPr>
                <w:sz w:val="14"/>
              </w:rPr>
              <w:t>Signal and events jointly resampled to 160 Hz with polyphase resampling; Kaiser β=5.0</w:t>
            </w:r>
          </w:p>
        </w:tc>
      </w:tr>
      <w:tr>
        <w:tc>
          <w:tcPr>
            <w:tcW w:type="dxa" w:w="3504"/>
            <w:vAlign w:val="top"/>
          </w:tcPr>
          <w:p>
            <w:r>
              <w:rPr>
                <w:sz w:val="14"/>
              </w:rPr>
              <w:t>6</w:t>
            </w:r>
          </w:p>
        </w:tc>
        <w:tc>
          <w:tcPr>
            <w:tcW w:type="dxa" w:w="3504"/>
            <w:vAlign w:val="top"/>
          </w:tcPr>
          <w:p>
            <w:r>
              <w:rPr>
                <w:sz w:val="14"/>
              </w:rPr>
              <w:t>Band-pass filtering</w:t>
            </w:r>
          </w:p>
        </w:tc>
        <w:tc>
          <w:tcPr>
            <w:tcW w:type="dxa" w:w="3504"/>
            <w:vAlign w:val="top"/>
          </w:tcPr>
          <w:p>
            <w:r>
              <w:rPr>
                <w:sz w:val="14"/>
              </w:rPr>
              <w:t>8–32 Hz, 4th-order Butterworth SOS, zero-phase; odd padding; padlen 27</w:t>
            </w:r>
          </w:p>
        </w:tc>
      </w:tr>
      <w:tr>
        <w:tc>
          <w:tcPr>
            <w:tcW w:type="dxa" w:w="3504"/>
            <w:vAlign w:val="top"/>
          </w:tcPr>
          <w:p>
            <w:r>
              <w:rPr>
                <w:sz w:val="14"/>
              </w:rPr>
              <w:t>7</w:t>
            </w:r>
          </w:p>
        </w:tc>
        <w:tc>
          <w:tcPr>
            <w:tcW w:type="dxa" w:w="3504"/>
            <w:vAlign w:val="top"/>
          </w:tcPr>
          <w:p>
            <w:r>
              <w:rPr>
                <w:sz w:val="14"/>
              </w:rPr>
              <w:t>Storage dtype</w:t>
            </w:r>
          </w:p>
        </w:tc>
        <w:tc>
          <w:tcPr>
            <w:tcW w:type="dxa" w:w="3504"/>
            <w:vAlign w:val="top"/>
          </w:tcPr>
          <w:p>
            <w:r>
              <w:rPr>
                <w:sz w:val="14"/>
              </w:rPr>
              <w:t>float32</w:t>
            </w:r>
          </w:p>
        </w:tc>
      </w:tr>
      <w:tr>
        <w:tc>
          <w:tcPr>
            <w:tcW w:type="dxa" w:w="3504"/>
            <w:vAlign w:val="top"/>
          </w:tcPr>
          <w:p>
            <w:r>
              <w:rPr>
                <w:sz w:val="14"/>
              </w:rPr>
              <w:t>8</w:t>
            </w:r>
          </w:p>
        </w:tc>
        <w:tc>
          <w:tcPr>
            <w:tcW w:type="dxa" w:w="3504"/>
            <w:vAlign w:val="top"/>
          </w:tcPr>
          <w:p>
            <w:r>
              <w:rPr>
                <w:sz w:val="14"/>
              </w:rPr>
              <w:t>Official windowing</w:t>
            </w:r>
          </w:p>
        </w:tc>
        <w:tc>
          <w:tcPr>
            <w:tcW w:type="dxa" w:w="3504"/>
            <w:vAlign w:val="top"/>
          </w:tcPr>
          <w:p>
            <w:r>
              <w:rPr>
                <w:sz w:val="14"/>
              </w:rPr>
              <w:t>cue +0.5 to +3.5 s, 480 samples; reject out-of-bounds; no clipping</w:t>
            </w:r>
          </w:p>
        </w:tc>
      </w:tr>
    </w:tbl>
    <w:p>
      <w:pPr>
        <w:pStyle w:val="Heading1"/>
      </w:pPr>
      <w:r>
        <w:t>6. Core and Quality Closure</w:t>
      </w:r>
    </w:p>
    <w:p>
      <w:r>
        <w:rPr>
          <w:b w:val="0"/>
        </w:rPr>
        <w:t>Official core: cue +0.5→+3.5 s, 480 samples @160 Hz; 12,910 accepted events → 12,910 valid official core windows; 0 invalid windows; 172 persisted HDF5 subject shards.</w:t>
      </w:r>
    </w:p>
    <w:p>
      <w:r>
        <w:rPr>
          <w:b/>
          <w:color w:val="B37A00"/>
        </w:rPr>
        <w:t>Quality: 489 recording/run summaries; 20 soft/provider flags; 0 hard-invalid summaries. Soft/provider flag ≠ corruption.</w:t>
      </w:r>
    </w:p>
    <w:p>
      <w:pPr>
        <w:pStyle w:val="Heading2"/>
      </w:pPr>
      <w:r>
        <w:t>Figure — P00→P01 progression</w:t>
      </w:r>
    </w:p>
    <w:p>
      <w:pPr>
        <w:jc w:val="center"/>
      </w:pPr>
      <w:r>
        <w:drawing>
          <wp:inline xmlns:a="http://schemas.openxmlformats.org/drawingml/2006/main" xmlns:pic="http://schemas.openxmlformats.org/drawingml/2006/picture">
            <wp:extent cx="6400800" cy="2867915"/>
            <wp:docPr id="1" name="Picture 1" descr="Image: image1.png"/>
            <wp:cNvGraphicFramePr>
              <a:graphicFrameLocks noChangeAspect="1"/>
            </wp:cNvGraphicFramePr>
            <a:graphic>
              <a:graphicData uri="http://schemas.openxmlformats.org/drawingml/2006/picture">
                <pic:pic>
                  <pic:nvPicPr>
                    <pic:cNvPr id="0" name="P01-FIG-SRC-001.png"/>
                    <pic:cNvPicPr/>
                  </pic:nvPicPr>
                  <pic:blipFill>
                    <a:blip r:embed="rId11"/>
                    <a:stretch>
                      <a:fillRect/>
                    </a:stretch>
                  </pic:blipFill>
                  <pic:spPr>
                    <a:xfrm>
                      <a:off x="0" y="0"/>
                      <a:ext cx="6400800" cy="2867915"/>
                    </a:xfrm>
                    <a:prstGeom prst="rect"/>
                  </pic:spPr>
                </pic:pic>
              </a:graphicData>
            </a:graphic>
          </wp:inline>
        </w:drawing>
      </w:r>
    </w:p>
    <w:p>
      <w:r>
        <w:rPr>
          <w:b/>
          <w:color w:val="A94442"/>
        </w:rPr>
        <w:t>Governed warning: PUBLIC_EEG_ONLY; NON_CLINICAL; no model-effectiveness inference</w:t>
      </w:r>
    </w:p>
    <w:p>
      <w:pPr>
        <w:pStyle w:val="Heading2"/>
      </w:pPr>
      <w:r>
        <w:t>Figure — Source → accepted event → core window flow</w:t>
      </w:r>
    </w:p>
    <w:p>
      <w:pPr>
        <w:jc w:val="center"/>
      </w:pPr>
      <w:r>
        <w:drawing>
          <wp:inline xmlns:a="http://schemas.openxmlformats.org/drawingml/2006/main" xmlns:pic="http://schemas.openxmlformats.org/drawingml/2006/picture">
            <wp:extent cx="6400800" cy="3449401"/>
            <wp:docPr id="2" name="Picture 2" descr="Image: image2.png"/>
            <wp:cNvGraphicFramePr>
              <a:graphicFrameLocks noChangeAspect="1"/>
            </wp:cNvGraphicFramePr>
            <a:graphic>
              <a:graphicData uri="http://schemas.openxmlformats.org/drawingml/2006/picture">
                <pic:pic>
                  <pic:nvPicPr>
                    <pic:cNvPr id="0" name="P01-FIG-SRC-002.png"/>
                    <pic:cNvPicPr/>
                  </pic:nvPicPr>
                  <pic:blipFill>
                    <a:blip r:embed="rId12"/>
                    <a:stretch>
                      <a:fillRect/>
                    </a:stretch>
                  </pic:blipFill>
                  <pic:spPr>
                    <a:xfrm>
                      <a:off x="0" y="0"/>
                      <a:ext cx="6400800" cy="3449401"/>
                    </a:xfrm>
                    <a:prstGeom prst="rect"/>
                  </pic:spPr>
                </pic:pic>
              </a:graphicData>
            </a:graphic>
          </wp:inline>
        </w:drawing>
      </w:r>
    </w:p>
    <w:p>
      <w:r>
        <w:rPr>
          <w:b/>
          <w:color w:val="A94442"/>
        </w:rPr>
        <w:t>Governed warning: Denominator/accounting only; not model performance</w:t>
      </w:r>
    </w:p>
    <w:p>
      <w:pPr>
        <w:pStyle w:val="Heading2"/>
      </w:pPr>
      <w:r>
        <w:t>Figure — Subject split allocation</w:t>
      </w:r>
    </w:p>
    <w:p>
      <w:pPr>
        <w:jc w:val="center"/>
      </w:pPr>
      <w:r>
        <w:drawing>
          <wp:inline xmlns:a="http://schemas.openxmlformats.org/drawingml/2006/main" xmlns:pic="http://schemas.openxmlformats.org/drawingml/2006/picture">
            <wp:extent cx="6400800" cy="3159218"/>
            <wp:docPr id="3" name="Picture 3" descr="Image: image3.png"/>
            <wp:cNvGraphicFramePr>
              <a:graphicFrameLocks noChangeAspect="1"/>
            </wp:cNvGraphicFramePr>
            <a:graphic>
              <a:graphicData uri="http://schemas.openxmlformats.org/drawingml/2006/picture">
                <pic:pic>
                  <pic:nvPicPr>
                    <pic:cNvPr id="0" name="P01-FIG-SRC-003.png"/>
                    <pic:cNvPicPr/>
                  </pic:nvPicPr>
                  <pic:blipFill>
                    <a:blip r:embed="rId13"/>
                    <a:stretch>
                      <a:fillRect/>
                    </a:stretch>
                  </pic:blipFill>
                  <pic:spPr>
                    <a:xfrm>
                      <a:off x="0" y="0"/>
                      <a:ext cx="6400800" cy="3159218"/>
                    </a:xfrm>
                    <a:prstGeom prst="rect"/>
                  </pic:spPr>
                </pic:pic>
              </a:graphicData>
            </a:graphic>
          </wp:inline>
        </w:drawing>
      </w:r>
    </w:p>
    <w:p>
      <w:r>
        <w:rPr>
          <w:b/>
          <w:color w:val="A94442"/>
        </w:rPr>
        <w:t>Governed warning: IMPLEMENTED_CHECKS_ONLY</w:t>
      </w:r>
    </w:p>
    <w:p>
      <w:pPr>
        <w:pStyle w:val="Heading2"/>
      </w:pPr>
      <w:r>
        <w:t>Figure — Preprocessing chain</w:t>
      </w:r>
    </w:p>
    <w:p>
      <w:pPr>
        <w:jc w:val="center"/>
      </w:pPr>
      <w:r>
        <w:drawing>
          <wp:inline xmlns:a="http://schemas.openxmlformats.org/drawingml/2006/main" xmlns:pic="http://schemas.openxmlformats.org/drawingml/2006/picture">
            <wp:extent cx="6400800" cy="3028623"/>
            <wp:docPr id="4" name="Picture 4" descr="Image: image4.png"/>
            <wp:cNvGraphicFramePr>
              <a:graphicFrameLocks noChangeAspect="1"/>
            </wp:cNvGraphicFramePr>
            <a:graphic>
              <a:graphicData uri="http://schemas.openxmlformats.org/drawingml/2006/picture">
                <pic:pic>
                  <pic:nvPicPr>
                    <pic:cNvPr id="0" name="P01-FIG-SRC-004.png"/>
                    <pic:cNvPicPr/>
                  </pic:nvPicPr>
                  <pic:blipFill>
                    <a:blip r:embed="rId14"/>
                    <a:stretch>
                      <a:fillRect/>
                    </a:stretch>
                  </pic:blipFill>
                  <pic:spPr>
                    <a:xfrm>
                      <a:off x="0" y="0"/>
                      <a:ext cx="6400800" cy="3028623"/>
                    </a:xfrm>
                    <a:prstGeom prst="rect"/>
                  </pic:spPr>
                </pic:pic>
              </a:graphicData>
            </a:graphic>
          </wp:inline>
        </w:drawing>
      </w:r>
    </w:p>
    <w:p>
      <w:r>
        <w:rPr>
          <w:b/>
          <w:color w:val="A94442"/>
        </w:rPr>
        <w:t>Governed warning: Implementation contract only; no preprocessing-effectiveness inference</w:t>
      </w:r>
    </w:p>
    <w:p>
      <w:pPr>
        <w:pStyle w:val="Heading2"/>
      </w:pPr>
      <w:r>
        <w:t>Figure — Official core window</w:t>
      </w:r>
    </w:p>
    <w:p>
      <w:pPr>
        <w:jc w:val="center"/>
      </w:pPr>
      <w:r>
        <w:drawing>
          <wp:inline xmlns:a="http://schemas.openxmlformats.org/drawingml/2006/main" xmlns:pic="http://schemas.openxmlformats.org/drawingml/2006/picture">
            <wp:extent cx="6400800" cy="2848841"/>
            <wp:docPr id="5" name="Picture 5" descr="Image: image5.png"/>
            <wp:cNvGraphicFramePr>
              <a:graphicFrameLocks noChangeAspect="1"/>
            </wp:cNvGraphicFramePr>
            <a:graphic>
              <a:graphicData uri="http://schemas.openxmlformats.org/drawingml/2006/picture">
                <pic:pic>
                  <pic:nvPicPr>
                    <pic:cNvPr id="0" name="L10-P01-FIG-CORE-WINDOW.png"/>
                    <pic:cNvPicPr/>
                  </pic:nvPicPr>
                  <pic:blipFill>
                    <a:blip r:embed="rId15"/>
                    <a:stretch>
                      <a:fillRect/>
                    </a:stretch>
                  </pic:blipFill>
                  <pic:spPr>
                    <a:xfrm>
                      <a:off x="0" y="0"/>
                      <a:ext cx="6400800" cy="2848841"/>
                    </a:xfrm>
                    <a:prstGeom prst="rect"/>
                  </pic:spPr>
                </pic:pic>
              </a:graphicData>
            </a:graphic>
          </wp:inline>
        </w:drawing>
      </w:r>
    </w:p>
    <w:p>
      <w:r>
        <w:rPr>
          <w:b/>
          <w:color w:val="A94442"/>
        </w:rPr>
        <w:t>Governed warning: NO_MODEL_EFFECT_INFERENCE</w:t>
      </w:r>
    </w:p>
    <w:p>
      <w:pPr>
        <w:pStyle w:val="Heading2"/>
      </w:pPr>
      <w:r>
        <w:t>Figure — Core denominator conservation</w:t>
      </w:r>
    </w:p>
    <w:p>
      <w:pPr>
        <w:jc w:val="center"/>
      </w:pPr>
      <w:r>
        <w:drawing>
          <wp:inline xmlns:a="http://schemas.openxmlformats.org/drawingml/2006/main" xmlns:pic="http://schemas.openxmlformats.org/drawingml/2006/picture">
            <wp:extent cx="6400800" cy="3234608"/>
            <wp:docPr id="6" name="Picture 6" descr="Image: image6.png"/>
            <wp:cNvGraphicFramePr>
              <a:graphicFrameLocks noChangeAspect="1"/>
            </wp:cNvGraphicFramePr>
            <a:graphic>
              <a:graphicData uri="http://schemas.openxmlformats.org/drawingml/2006/picture">
                <pic:pic>
                  <pic:nvPicPr>
                    <pic:cNvPr id="0" name="P01-FIG-SRC-005.png"/>
                    <pic:cNvPicPr/>
                  </pic:nvPicPr>
                  <pic:blipFill>
                    <a:blip r:embed="rId16"/>
                    <a:stretch>
                      <a:fillRect/>
                    </a:stretch>
                  </pic:blipFill>
                  <pic:spPr>
                    <a:xfrm>
                      <a:off x="0" y="0"/>
                      <a:ext cx="6400800" cy="3234608"/>
                    </a:xfrm>
                    <a:prstGeom prst="rect"/>
                  </pic:spPr>
                </pic:pic>
              </a:graphicData>
            </a:graphic>
          </wp:inline>
        </w:drawing>
      </w:r>
    </w:p>
    <w:p>
      <w:r>
        <w:rPr>
          <w:b/>
          <w:color w:val="A94442"/>
        </w:rPr>
        <w:t>Governed warning: NO_MODEL_EFFECT_INFERENCE; external access constraints apply</w:t>
      </w:r>
    </w:p>
    <w:p>
      <w:pPr>
        <w:pStyle w:val="Heading2"/>
      </w:pPr>
      <w:r>
        <w:t>Figure — Core vs A4 timing</w:t>
      </w:r>
    </w:p>
    <w:p>
      <w:pPr>
        <w:jc w:val="center"/>
      </w:pPr>
      <w:r>
        <w:drawing>
          <wp:inline xmlns:a="http://schemas.openxmlformats.org/drawingml/2006/main" xmlns:pic="http://schemas.openxmlformats.org/drawingml/2006/picture">
            <wp:extent cx="6400800" cy="3324901"/>
            <wp:docPr id="7" name="Picture 7" descr="Image: image7.png"/>
            <wp:cNvGraphicFramePr>
              <a:graphicFrameLocks noChangeAspect="1"/>
            </wp:cNvGraphicFramePr>
            <a:graphic>
              <a:graphicData uri="http://schemas.openxmlformats.org/drawingml/2006/picture">
                <pic:pic>
                  <pic:nvPicPr>
                    <pic:cNvPr id="0" name="P01-FIG-SRC-006.png"/>
                    <pic:cNvPicPr/>
                  </pic:nvPicPr>
                  <pic:blipFill>
                    <a:blip r:embed="rId17"/>
                    <a:stretch>
                      <a:fillRect/>
                    </a:stretch>
                  </pic:blipFill>
                  <pic:spPr>
                    <a:xfrm>
                      <a:off x="0" y="0"/>
                      <a:ext cx="6400800" cy="3324901"/>
                    </a:xfrm>
                    <a:prstGeom prst="rect"/>
                  </pic:spPr>
                </pic:pic>
              </a:graphicData>
            </a:graphic>
          </wp:inline>
        </w:drawing>
      </w:r>
    </w:p>
    <w:p>
      <w:r>
        <w:rPr>
          <w:b/>
          <w:color w:val="A94442"/>
        </w:rPr>
        <w:t>Governed warning: A4 readiness only; effectiveness not evaluated in P01</w:t>
      </w:r>
    </w:p>
    <w:p>
      <w:pPr>
        <w:pStyle w:val="Heading2"/>
      </w:pPr>
      <w:r>
        <w:t>Figure — A4 R1 failure → R2 design</w:t>
      </w:r>
    </w:p>
    <w:p>
      <w:pPr>
        <w:jc w:val="center"/>
      </w:pPr>
      <w:r>
        <w:drawing>
          <wp:inline xmlns:a="http://schemas.openxmlformats.org/drawingml/2006/main" xmlns:pic="http://schemas.openxmlformats.org/drawingml/2006/picture">
            <wp:extent cx="6400800" cy="4230694"/>
            <wp:docPr id="8" name="Picture 8" descr="Image: image8.png"/>
            <wp:cNvGraphicFramePr>
              <a:graphicFrameLocks noChangeAspect="1"/>
            </wp:cNvGraphicFramePr>
            <a:graphic>
              <a:graphicData uri="http://schemas.openxmlformats.org/drawingml/2006/picture">
                <pic:pic>
                  <pic:nvPicPr>
                    <pic:cNvPr id="0" name="P01-FIG-SRC-007.png"/>
                    <pic:cNvPicPr/>
                  </pic:nvPicPr>
                  <pic:blipFill>
                    <a:blip r:embed="rId18"/>
                    <a:stretch>
                      <a:fillRect/>
                    </a:stretch>
                  </pic:blipFill>
                  <pic:spPr>
                    <a:xfrm>
                      <a:off x="0" y="0"/>
                      <a:ext cx="6400800" cy="4230694"/>
                    </a:xfrm>
                    <a:prstGeom prst="rect"/>
                  </pic:spPr>
                </pic:pic>
              </a:graphicData>
            </a:graphic>
          </wp:inline>
        </w:drawing>
      </w:r>
    </w:p>
    <w:p>
      <w:r>
        <w:rPr>
          <w:b/>
          <w:color w:val="A94442"/>
        </w:rPr>
        <w:t>Governed warning: Retrospective feasibility origin; no effect claim</w:t>
      </w:r>
    </w:p>
    <w:p>
      <w:pPr>
        <w:pStyle w:val="Heading2"/>
      </w:pPr>
      <w:r>
        <w:t>Figure — Stage/repair chronology</w:t>
      </w:r>
    </w:p>
    <w:p>
      <w:pPr>
        <w:jc w:val="center"/>
      </w:pPr>
      <w:r>
        <w:drawing>
          <wp:inline xmlns:a="http://schemas.openxmlformats.org/drawingml/2006/main" xmlns:pic="http://schemas.openxmlformats.org/drawingml/2006/picture">
            <wp:extent cx="6400800" cy="50586"/>
            <wp:docPr id="9" name="Picture 9" descr="Image: image9.png"/>
            <wp:cNvGraphicFramePr>
              <a:graphicFrameLocks noChangeAspect="1"/>
            </wp:cNvGraphicFramePr>
            <a:graphic>
              <a:graphicData uri="http://schemas.openxmlformats.org/drawingml/2006/picture">
                <pic:pic>
                  <pic:nvPicPr>
                    <pic:cNvPr id="0" name="P01-FIG-SRC-008.png"/>
                    <pic:cNvPicPr/>
                  </pic:nvPicPr>
                  <pic:blipFill>
                    <a:blip r:embed="rId19"/>
                    <a:stretch>
                      <a:fillRect/>
                    </a:stretch>
                  </pic:blipFill>
                  <pic:spPr>
                    <a:xfrm>
                      <a:off x="0" y="0"/>
                      <a:ext cx="6400800" cy="50586"/>
                    </a:xfrm>
                    <a:prstGeom prst="rect"/>
                  </pic:spPr>
                </pic:pic>
              </a:graphicData>
            </a:graphic>
          </wp:inline>
        </w:drawing>
      </w:r>
    </w:p>
    <w:p>
      <w:r>
        <w:rPr>
          <w:b/>
          <w:color w:val="A94442"/>
        </w:rPr>
        <w:t>Governed warning: Execution history; historical failures are not current positive evidence</w:t>
      </w:r>
    </w:p>
    <w:p>
      <w:pPr>
        <w:pStyle w:val="Heading2"/>
      </w:pPr>
      <w:r>
        <w:t>Figure — Evidence ceiling</w:t>
      </w:r>
    </w:p>
    <w:p>
      <w:pPr>
        <w:jc w:val="center"/>
      </w:pPr>
      <w:r>
        <w:drawing>
          <wp:inline xmlns:a="http://schemas.openxmlformats.org/drawingml/2006/main" xmlns:pic="http://schemas.openxmlformats.org/drawingml/2006/picture">
            <wp:extent cx="6400800" cy="3821010"/>
            <wp:docPr id="10" name="Picture 10" descr="Image: image10.png"/>
            <wp:cNvGraphicFramePr>
              <a:graphicFrameLocks noChangeAspect="1"/>
            </wp:cNvGraphicFramePr>
            <a:graphic>
              <a:graphicData uri="http://schemas.openxmlformats.org/drawingml/2006/picture">
                <pic:pic>
                  <pic:nvPicPr>
                    <pic:cNvPr id="0" name="P01-FIG-SRC-009.png"/>
                    <pic:cNvPicPr/>
                  </pic:nvPicPr>
                  <pic:blipFill>
                    <a:blip r:embed="rId20"/>
                    <a:stretch>
                      <a:fillRect/>
                    </a:stretch>
                  </pic:blipFill>
                  <pic:spPr>
                    <a:xfrm>
                      <a:off x="0" y="0"/>
                      <a:ext cx="6400800" cy="3821010"/>
                    </a:xfrm>
                    <a:prstGeom prst="rect"/>
                  </pic:spPr>
                </pic:pic>
              </a:graphicData>
            </a:graphic>
          </wp:inline>
        </w:drawing>
      </w:r>
    </w:p>
    <w:p>
      <w:r>
        <w:rPr>
          <w:b/>
          <w:color w:val="A94442"/>
        </w:rPr>
        <w:t>Governed warning: PUBLIC_EEG_ONLY; NON_CLINICAL; NO_DEPLOYMENT_CLAIM; NO_ABLATION_EFFECTIVENESS_IN_P01</w:t>
      </w:r>
    </w:p>
    <w:p>
      <w:pPr>
        <w:pStyle w:val="Heading2"/>
      </w:pPr>
      <w:r>
        <w:t>Figure — P01→P02 handoff graph</w:t>
      </w:r>
    </w:p>
    <w:p>
      <w:pPr>
        <w:jc w:val="center"/>
      </w:pPr>
      <w:r>
        <w:drawing>
          <wp:inline xmlns:a="http://schemas.openxmlformats.org/drawingml/2006/main" xmlns:pic="http://schemas.openxmlformats.org/drawingml/2006/picture">
            <wp:extent cx="6400800" cy="3324901"/>
            <wp:docPr id="11" name="Picture 11" descr="Image: image11.png"/>
            <wp:cNvGraphicFramePr>
              <a:graphicFrameLocks noChangeAspect="1"/>
            </wp:cNvGraphicFramePr>
            <a:graphic>
              <a:graphicData uri="http://schemas.openxmlformats.org/drawingml/2006/picture">
                <pic:pic>
                  <pic:nvPicPr>
                    <pic:cNvPr id="0" name="P01-FIG-SRC-010.png"/>
                    <pic:cNvPicPr/>
                  </pic:nvPicPr>
                  <pic:blipFill>
                    <a:blip r:embed="rId21"/>
                    <a:stretch>
                      <a:fillRect/>
                    </a:stretch>
                  </pic:blipFill>
                  <pic:spPr>
                    <a:xfrm>
                      <a:off x="0" y="0"/>
                      <a:ext cx="6400800" cy="3324901"/>
                    </a:xfrm>
                    <a:prstGeom prst="rect"/>
                  </pic:spPr>
                </pic:pic>
              </a:graphicData>
            </a:graphic>
          </wp:inline>
        </w:drawing>
      </w:r>
    </w:p>
    <w:p>
      <w:r>
        <w:rPr>
          <w:b/>
          <w:color w:val="A94442"/>
        </w:rPr>
        <w:t>Governed warning: DOCUMENTARY_CLOSURE_SEQUENCE_REMAINS; no prediction of P02 success</w:t>
      </w:r>
    </w:p>
    <w:p>
      <w:pPr>
        <w:pStyle w:val="Heading1"/>
      </w:pPr>
      <w:r>
        <w:t>7. A0–A13 and A14</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DDEBF7"/>
          </w:tcPr>
          <w:p>
            <w:r>
              <w:rPr>
                <w:sz w:val="13"/>
              </w:rPr>
              <w:t>ID</w:t>
            </w:r>
          </w:p>
        </w:tc>
        <w:tc>
          <w:tcPr>
            <w:tcW w:type="dxa" w:w="2628"/>
            <w:shd w:fill="DDEBF7"/>
          </w:tcPr>
          <w:p>
            <w:r>
              <w:rPr>
                <w:sz w:val="13"/>
              </w:rPr>
              <w:t>Identity</w:t>
            </w:r>
          </w:p>
        </w:tc>
        <w:tc>
          <w:tcPr>
            <w:tcW w:type="dxa" w:w="2628"/>
            <w:shd w:fill="DDEBF7"/>
          </w:tcPr>
          <w:p>
            <w:r>
              <w:rPr>
                <w:sz w:val="13"/>
              </w:rPr>
              <w:t>P01 state</w:t>
            </w:r>
          </w:p>
        </w:tc>
        <w:tc>
          <w:tcPr>
            <w:tcW w:type="dxa" w:w="2628"/>
            <w:shd w:fill="DDEBF7"/>
          </w:tcPr>
          <w:p>
            <w:r>
              <w:rPr>
                <w:sz w:val="13"/>
              </w:rPr>
              <w:t>Executed</w:t>
            </w:r>
          </w:p>
        </w:tc>
      </w:tr>
      <w:tr>
        <w:tc>
          <w:tcPr>
            <w:tcW w:type="dxa" w:w="2628"/>
            <w:vAlign w:val="top"/>
          </w:tcPr>
          <w:p>
            <w:r>
              <w:rPr>
                <w:sz w:val="13"/>
              </w:rPr>
              <w:t>A0</w:t>
            </w:r>
          </w:p>
        </w:tc>
        <w:tc>
          <w:tcPr>
            <w:tcW w:type="dxa" w:w="2628"/>
            <w:vAlign w:val="top"/>
          </w:tcPr>
          <w:p>
            <w:r>
              <w:rPr>
                <w:sz w:val="13"/>
              </w:rPr>
              <w:t>Raw Decoder / Accept-All Raw Decoder Reference</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A1</w:t>
            </w:r>
          </w:p>
        </w:tc>
        <w:tc>
          <w:tcPr>
            <w:tcW w:type="dxa" w:w="2628"/>
            <w:vAlign w:val="top"/>
          </w:tcPr>
          <w:p>
            <w:r>
              <w:rPr>
                <w:sz w:val="13"/>
              </w:rPr>
              <w:t>Calibrated Decoder / Calibration Visibility</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A2</w:t>
            </w:r>
          </w:p>
        </w:tc>
        <w:tc>
          <w:tcPr>
            <w:tcW w:type="dxa" w:w="2628"/>
            <w:vAlign w:val="top"/>
          </w:tcPr>
          <w:p>
            <w:r>
              <w:rPr>
                <w:sz w:val="13"/>
              </w:rPr>
              <w:t>Simple Registered Threshold / Confidence-Threshold Baseline</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A3</w:t>
            </w:r>
          </w:p>
        </w:tc>
        <w:tc>
          <w:tcPr>
            <w:tcW w:type="dxa" w:w="2628"/>
            <w:vAlign w:val="top"/>
          </w:tcPr>
          <w:p>
            <w:r>
              <w:rPr>
                <w:sz w:val="13"/>
              </w:rPr>
              <w:t>Uncertainty and Selective Prediction</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A4</w:t>
            </w:r>
          </w:p>
        </w:tc>
        <w:tc>
          <w:tcPr>
            <w:tcW w:type="dxa" w:w="2628"/>
            <w:vAlign w:val="top"/>
          </w:tcPr>
          <w:p>
            <w:r>
              <w:rPr>
                <w:sz w:val="13"/>
              </w:rPr>
              <w:t>Longer-Window, Multi-Window Voting/Averaging and Ordinary Ensemble Controls</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A5</w:t>
            </w:r>
          </w:p>
        </w:tc>
        <w:tc>
          <w:tcPr>
            <w:tcW w:type="dxa" w:w="2628"/>
            <w:vAlign w:val="top"/>
          </w:tcPr>
          <w:p>
            <w:r>
              <w:rPr>
                <w:sz w:val="13"/>
              </w:rPr>
              <w:t>IHARQ-lite / Rule-Based Evidence Verification</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A6</w:t>
            </w:r>
          </w:p>
        </w:tc>
        <w:tc>
          <w:tcPr>
            <w:tcW w:type="dxa" w:w="2628"/>
            <w:vAlign w:val="top"/>
          </w:tcPr>
          <w:p>
            <w:r>
              <w:rPr>
                <w:sz w:val="13"/>
              </w:rPr>
              <w:t>IHARQ + Evidence-Quality Estimator</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A7</w:t>
            </w:r>
          </w:p>
        </w:tc>
        <w:tc>
          <w:tcPr>
            <w:tcW w:type="dxa" w:w="2628"/>
            <w:vAlign w:val="top"/>
          </w:tcPr>
          <w:p>
            <w:r>
              <w:rPr>
                <w:sz w:val="13"/>
              </w:rPr>
              <w:t>IHARQ + RegimeRisk Temporal Trust</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A8</w:t>
            </w:r>
          </w:p>
        </w:tc>
        <w:tc>
          <w:tcPr>
            <w:tcW w:type="dxa" w:w="2628"/>
            <w:vAlign w:val="top"/>
          </w:tcPr>
          <w:p>
            <w:r>
              <w:rPr>
                <w:sz w:val="13"/>
              </w:rPr>
              <w:t>Learning-to-defer / Deferral Comparison</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A9</w:t>
            </w:r>
          </w:p>
        </w:tc>
        <w:tc>
          <w:tcPr>
            <w:tcW w:type="dxa" w:w="2628"/>
            <w:vAlign w:val="top"/>
          </w:tcPr>
          <w:p>
            <w:r>
              <w:rPr>
                <w:sz w:val="13"/>
              </w:rPr>
              <w:t>Supervised Adaptive-IHARQ / Adaptive Readiness Policy</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A10</w:t>
            </w:r>
          </w:p>
        </w:tc>
        <w:tc>
          <w:tcPr>
            <w:tcW w:type="dxa" w:w="2628"/>
            <w:vAlign w:val="top"/>
          </w:tcPr>
          <w:p>
            <w:r>
              <w:rPr>
                <w:sz w:val="13"/>
              </w:rPr>
              <w:t>Contextual Bandit / Simulation-Bounded Immediate-Reward Adaptation</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A11</w:t>
            </w:r>
          </w:p>
        </w:tc>
        <w:tc>
          <w:tcPr>
            <w:tcW w:type="dxa" w:w="2628"/>
            <w:vAlign w:val="top"/>
          </w:tcPr>
          <w:p>
            <w:r>
              <w:rPr>
                <w:sz w:val="13"/>
              </w:rPr>
              <w:t>Reinforcement-Learning Policy / Simulation-Bounded Sequential Policy Learning</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A12</w:t>
            </w:r>
          </w:p>
        </w:tc>
        <w:tc>
          <w:tcPr>
            <w:tcW w:type="dxa" w:w="2628"/>
            <w:vAlign w:val="top"/>
          </w:tcPr>
          <w:p>
            <w:r>
              <w:rPr>
                <w:sz w:val="13"/>
              </w:rPr>
              <w:t>StressForge Stress Tests / Controlled Stress Robustness</w:t>
            </w:r>
          </w:p>
        </w:tc>
        <w:tc>
          <w:tcPr>
            <w:tcW w:type="dxa" w:w="2628"/>
            <w:vAlign w:val="top"/>
          </w:tcPr>
          <w:p>
            <w:r>
              <w:rPr>
                <w:sz w:val="13"/>
              </w:rPr>
              <w:t>FOUNDATION_READY</w:t>
            </w:r>
          </w:p>
        </w:tc>
        <w:tc>
          <w:tcPr>
            <w:tcW w:type="dxa" w:w="2628"/>
            <w:vAlign w:val="top"/>
          </w:tcPr>
          <w:p>
            <w:r>
              <w:rPr>
                <w:sz w:val="13"/>
              </w:rPr>
              <w:t>NO</w:t>
            </w:r>
          </w:p>
        </w:tc>
      </w:tr>
      <w:tr>
        <w:tc>
          <w:tcPr>
            <w:tcW w:type="dxa" w:w="2628"/>
            <w:vAlign w:val="top"/>
          </w:tcPr>
          <w:p>
            <w:r>
              <w:rPr>
                <w:sz w:val="13"/>
              </w:rPr>
              <w:t>A13</w:t>
            </w:r>
          </w:p>
        </w:tc>
        <w:tc>
          <w:tcPr>
            <w:tcW w:type="dxa" w:w="2628"/>
            <w:vAlign w:val="top"/>
          </w:tcPr>
          <w:p>
            <w:r>
              <w:rPr>
                <w:sz w:val="13"/>
              </w:rPr>
              <w:t>Layer 9 Simulation-Only Embodiment Demo</w:t>
            </w:r>
          </w:p>
        </w:tc>
        <w:tc>
          <w:tcPr>
            <w:tcW w:type="dxa" w:w="2628"/>
            <w:vAlign w:val="top"/>
          </w:tcPr>
          <w:p>
            <w:r>
              <w:rPr>
                <w:sz w:val="13"/>
              </w:rPr>
              <w:t>FOUNDATION_READY</w:t>
            </w:r>
          </w:p>
        </w:tc>
        <w:tc>
          <w:tcPr>
            <w:tcW w:type="dxa" w:w="2628"/>
            <w:vAlign w:val="top"/>
          </w:tcPr>
          <w:p>
            <w:r>
              <w:rPr>
                <w:sz w:val="13"/>
              </w:rPr>
              <w:t>NO</w:t>
            </w:r>
          </w:p>
        </w:tc>
      </w:tr>
    </w:tbl>
    <w:p>
      <w:r>
        <w:rPr>
          <w:b/>
          <w:color w:val="A94442"/>
        </w:rPr>
        <w:t>A14 = ABSENT / PROHIBITED. READY ≠ EFFECTIVE.</w:t>
      </w:r>
    </w:p>
    <w:p>
      <w:pPr>
        <w:pStyle w:val="Heading1"/>
      </w:pPr>
      <w:r>
        <w:t>8. P01 Reviewed Claim Cards</w:t>
      </w:r>
    </w:p>
    <w:p>
      <w:pPr>
        <w:pStyle w:val="Heading2"/>
      </w:pPr>
      <w:r>
        <w:t>P01-CLM-001/v1 — APPROVED_WITH_QUALIFICATIONS</w:t>
      </w:r>
    </w:p>
    <w:p>
      <w:r>
        <w:rPr>
          <w:b w:val="0"/>
        </w:rPr>
        <w:t>Within the frozen P01 binary motor-imagery branch, Phase 1 established a checksum-bound, provenance-traceable foundation over the three activated public EEG datasets.</w:t>
      </w:r>
    </w:p>
    <w:p>
      <w:r>
        <w:rPr>
          <w:b/>
          <w:color w:val="B37A00"/>
        </w:rPr>
        <w:t>Limitations: PUBLIC_EEG_ONLY, NON_CLINICAL, BINARY_MI_BRANCH_SCOPE</w:t>
      </w:r>
    </w:p>
    <w:p>
      <w:r>
        <w:rPr>
          <w:b w:val="0"/>
          <w:color w:val="A94442"/>
        </w:rPr>
        <w:t>Warning: PUBLIC_EEG_ONLY; NON_CLINICAL; BINARY_MI_BRANCH_SCOPE</w:t>
      </w:r>
    </w:p>
    <w:p>
      <w:pPr>
        <w:pStyle w:val="Heading2"/>
      </w:pPr>
      <w:r>
        <w:t>P01-CLM-002/v1 — APPROVED_WITH_QUALIFICATIONS</w:t>
      </w:r>
    </w:p>
    <w:p>
      <w:r>
        <w:rPr>
          <w:b w:val="0"/>
        </w:rPr>
        <w:t>The frozen P01 split assigned 172 subject groups wholly and disjointly across train, calibration, validation, and test roles and passed the implemented registered leakage/disjointness checks; this does not prove that every conceivable leakage mechanism is impossible.</w:t>
      </w:r>
    </w:p>
    <w:p>
      <w:r>
        <w:rPr>
          <w:b/>
          <w:color w:val="B37A00"/>
        </w:rPr>
        <w:t>Limitations: IMPLEMENTED_CHECKS_ONLY</w:t>
      </w:r>
    </w:p>
    <w:p>
      <w:r>
        <w:rPr>
          <w:b w:val="0"/>
          <w:color w:val="A94442"/>
        </w:rPr>
        <w:t>Warning: IMPLEMENTED_CHECKS_ONLY</w:t>
      </w:r>
    </w:p>
    <w:p>
      <w:pPr>
        <w:pStyle w:val="Heading2"/>
      </w:pPr>
      <w:r>
        <w:t>P01-CLM-003/v1 — APPROVED</w:t>
      </w:r>
    </w:p>
    <w:p>
      <w:r>
        <w:rPr>
          <w:b w:val="0"/>
        </w:rPr>
        <w:t>Under the frozen official core-window policy, all 12,910 accepted events yielded 12,910 valid core windows, with 0/12,910 invalid official core windows.</w:t>
      </w:r>
    </w:p>
    <w:p>
      <w:r>
        <w:rPr>
          <w:b/>
          <w:color w:val="B37A00"/>
        </w:rPr>
        <w:t>Limitations: NO_MODEL_EFFECT_INFERENCE</w:t>
      </w:r>
    </w:p>
    <w:p>
      <w:r>
        <w:rPr>
          <w:b w:val="0"/>
          <w:color w:val="A94442"/>
        </w:rPr>
        <w:t>Warning: NO_MODEL_EFFECT_INFERENCE</w:t>
      </w:r>
    </w:p>
    <w:p>
      <w:pPr>
        <w:pStyle w:val="Heading2"/>
      </w:pPr>
      <w:r>
        <w:t>P01-CLM-004/v1 — APPROVED_WITH_QUALIFICATIONS</w:t>
      </w:r>
    </w:p>
    <w:p>
      <w:r>
        <w:rPr>
          <w:b w:val="0"/>
        </w:rPr>
        <w:t>The official P01 core numerical artifact was persisted as 172 lossless HDF5 subject shards covering 12,910 windows and was verified under its Kaggle provider-version/logical-revision/manifest-hash identity contract.</w:t>
      </w:r>
    </w:p>
    <w:p>
      <w:r>
        <w:rPr>
          <w:b/>
          <w:color w:val="B37A00"/>
        </w:rPr>
        <w:t>Limitations: PRIVATE_KAGGLE_EXTERNAL_ARTIFACT_ACCESS, SOURCE_LICENSE_REDISTRIBUTION_CONSTRAINTS</w:t>
      </w:r>
    </w:p>
    <w:p>
      <w:r>
        <w:rPr>
          <w:b w:val="0"/>
          <w:color w:val="A94442"/>
        </w:rPr>
        <w:t>Warning: PRIVATE_KAGGLE_EXTERNAL_ARTIFACT_ACCESS; SOURCE_LICENSE_REDISTRIBUTION_CONSTRAINTS</w:t>
      </w:r>
    </w:p>
    <w:p>
      <w:pPr>
        <w:pStyle w:val="Heading2"/>
      </w:pPr>
      <w:r>
        <w:t>P01-CLM-005/v1 — APPROVED_WITH_QUALIFICATIONS</w:t>
      </w:r>
    </w:p>
    <w:p>
      <w:r>
        <w:rPr>
          <w:b w:val="0"/>
        </w:rPr>
        <w:t>P01 applied the ANNOTATE_NOT_REPAIR quality policy across 489 quality summaries: 20 soft/provider flags were retained, 0/489 summaries were hard-invalid, and 0/12,910 official core windows were invalid under the registered criteria.</w:t>
      </w:r>
    </w:p>
    <w:p>
      <w:r>
        <w:rPr>
          <w:b/>
          <w:color w:val="B37A00"/>
        </w:rPr>
        <w:t>Limitations: SOFT_FLAG_NOT_EQUIVALENT_TO_CORRUPTION</w:t>
      </w:r>
    </w:p>
    <w:p>
      <w:r>
        <w:rPr>
          <w:b w:val="0"/>
          <w:color w:val="A94442"/>
        </w:rPr>
        <w:t>Warning: SOFT_FLAG_NOT_EQUIVALENT_TO_CORRUPTION</w:t>
      </w:r>
    </w:p>
    <w:p>
      <w:pPr>
        <w:pStyle w:val="Heading2"/>
      </w:pPr>
      <w:r>
        <w:t>P01-CLM-006/v1 — APPROVED_WITH_QUALIFICATIONS</w:t>
      </w:r>
    </w:p>
    <w:p>
      <w:r>
        <w:rPr>
          <w:b w:val="0"/>
        </w:rPr>
        <w:t>P01 established Layer-1 foundation readiness for each official A0-A13 identity; none of these ablation-effectiveness experiments was executed in P01, and A14 remained absent/prohibited.</w:t>
      </w:r>
    </w:p>
    <w:p>
      <w:r>
        <w:rPr>
          <w:b/>
          <w:color w:val="B37A00"/>
        </w:rPr>
        <w:t>Limitations: NO_ABLATION_EFFECTIVENESS_IN_P01</w:t>
      </w:r>
    </w:p>
    <w:p>
      <w:r>
        <w:rPr>
          <w:b w:val="0"/>
          <w:color w:val="A94442"/>
        </w:rPr>
        <w:t>Warning: NO_ABLATION_EFFECTIVENESS_IN_P01</w:t>
      </w:r>
    </w:p>
    <w:p>
      <w:pPr>
        <w:pStyle w:val="Heading2"/>
      </w:pPr>
      <w:r>
        <w:t>P01-CLM-007/v1 — APPROVED_WITH_QUALIFICATIONS</w:t>
      </w:r>
    </w:p>
    <w:p>
      <w:r>
        <w:rPr>
          <w:b w:val="0"/>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p>
      <w:r>
        <w:rPr>
          <w:b/>
          <w:color w:val="B37A00"/>
        </w:rPr>
        <w:t>Limitations: A4_R2_RETROSPECTIVE_FEASIBILITY_ORIGIN_NOT_CONFIRMATORY_IN_P01, A4_EFFECTIVENESS_NOT_EXECUTED</w:t>
      </w:r>
    </w:p>
    <w:p>
      <w:r>
        <w:rPr>
          <w:b w:val="0"/>
          <w:color w:val="A94442"/>
        </w:rPr>
        <w:t>Warning: A4_R2_RETROSPECTIVE_FEASIBILITY_ORIGIN_NOT_CONFIRMATORY_IN_P01; A4_EFFECTIVENESS_NOT_EXECUTED</w:t>
      </w:r>
    </w:p>
    <w:p>
      <w:pPr>
        <w:pStyle w:val="Heading2"/>
      </w:pPr>
      <w:r>
        <w:t>P01-CLM-008/v1 — APPROVED</w:t>
      </w:r>
    </w:p>
    <w:p>
      <w:r>
        <w:rPr>
          <w:b w:val="0"/>
        </w:rPr>
        <w:t>The accepted P01 execution completed 27/27 registered stages, 16/16 deterministic P01 gates, and 50/50 regression tests with 0 unresolved blockers; final execution-bundle integrity checks also closed.</w:t>
      </w:r>
    </w:p>
    <w:p>
      <w:r>
        <w:rPr>
          <w:b/>
          <w:color w:val="B37A00"/>
        </w:rPr>
        <w:t>Limitations: NO_EFFECTIVENESS_INFERENCE</w:t>
      </w:r>
    </w:p>
    <w:p>
      <w:r>
        <w:rPr>
          <w:b w:val="0"/>
          <w:color w:val="A94442"/>
        </w:rPr>
        <w:t>Warning: NO_EFFECTIVENESS_INFERENCE</w:t>
      </w:r>
    </w:p>
    <w:p>
      <w:pPr>
        <w:pStyle w:val="Heading2"/>
      </w:pPr>
      <w:r>
        <w:t>P01-CLM-009/v1 — APPROVED_WITH_QUALIFICATIONS</w:t>
      </w:r>
    </w:p>
    <w:p>
      <w:r>
        <w:rPr>
          <w:b w:val="0"/>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p>
      <w:r>
        <w:rPr>
          <w:b/>
          <w:color w:val="B37A00"/>
        </w:rPr>
        <w:t>Limitations: ACTUAL_RUNTIME_PYTHON_3_12_13_WITH_COMPATIBILITY_AMENDMENT, ADAPTIVE_DISK_RESOURCE_AMENDMENT</w:t>
      </w:r>
    </w:p>
    <w:p>
      <w:r>
        <w:rPr>
          <w:b w:val="0"/>
          <w:color w:val="A94442"/>
        </w:rPr>
        <w:t>Warning: ACTUAL_RUNTIME_PYTHON_3_12_13_WITH_COMPATIBILITY_AMENDMENT; ADAPTIVE_DISK_RESOURCE_AMENDMENT</w:t>
      </w:r>
    </w:p>
    <w:p>
      <w:pPr>
        <w:pStyle w:val="Heading2"/>
      </w:pPr>
      <w:r>
        <w:t>P01-CLM-010/v1 — APPROVED_WITH_QUALIFICATIONS</w:t>
      </w:r>
    </w:p>
    <w:p>
      <w:r>
        <w:rPr>
          <w:b w:val="0"/>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p>
      <w:r>
        <w:rPr>
          <w:b/>
          <w:color w:val="B37A00"/>
        </w:rPr>
        <w:t>Limitations: DOCUMENTARY_CLOSURE_SEQUENCE_REMAINS</w:t>
      </w:r>
    </w:p>
    <w:p>
      <w:r>
        <w:rPr>
          <w:b w:val="0"/>
          <w:color w:val="A94442"/>
        </w:rPr>
        <w:t>Warning: DOCUMENTARY_CLOSURE_SEQUENCE_REMAINS</w:t>
      </w:r>
    </w:p>
    <w:p>
      <w:pPr>
        <w:pStyle w:val="Heading2"/>
      </w:pPr>
      <w:r>
        <w:t>P01-CLM-011/v1 — DEFERRED</w:t>
      </w:r>
    </w:p>
    <w:p>
      <w:r>
        <w:rPr>
          <w:b w:val="0"/>
        </w:rPr>
        <w:t>P01 did not evaluate whether A4 R2 improves decoder performance relative to the core window; that effectiveness question remains deferred to a future governed matched downstream experiment.</w:t>
      </w:r>
    </w:p>
    <w:p>
      <w:r>
        <w:rPr>
          <w:b/>
          <w:color w:val="B37A00"/>
        </w:rPr>
        <w:t>Limitations: A4_EFFECTIVENESS_NOT_EXECUTED, A4_R2_RETROSPECTIVE_FEASIBILITY_ORIGIN_NOT_CONFIRMATORY_IN_P01</w:t>
      </w:r>
    </w:p>
    <w:p>
      <w:r>
        <w:rPr>
          <w:b w:val="0"/>
          <w:color w:val="A94442"/>
        </w:rPr>
        <w:t>Warning: A4_EFFECTIVENESS_NOT_EXECUTED; A4_R2_RETROSPECTIVE_FEASIBILITY_ORIGIN_NOT_CONFIRMATORY_IN_P01</w:t>
      </w:r>
    </w:p>
    <w:p>
      <w:pPr>
        <w:pStyle w:val="Heading2"/>
      </w:pPr>
      <w:r>
        <w:t>P01-CLM-012/v1 — REJECTED</w:t>
      </w:r>
    </w:p>
    <w:p>
      <w:r>
        <w:rPr>
          <w:b w:val="0"/>
        </w:rPr>
        <w:t>P01 is a public, non-clinical data-foundation and execution-validation phase; it does not establish clinical effectiveness, patient benefit, deployment safety, or medical-device readiness.</w:t>
      </w:r>
    </w:p>
    <w:p>
      <w:r>
        <w:rPr>
          <w:b/>
          <w:color w:val="B37A00"/>
        </w:rPr>
        <w:t>Limitations: PUBLIC_EEG_ONLY, NON_CLINICAL, NO_DEPLOYMENT_CLAIM</w:t>
      </w:r>
    </w:p>
    <w:p>
      <w:r>
        <w:rPr>
          <w:b w:val="0"/>
          <w:color w:val="A94442"/>
        </w:rPr>
        <w:t>Warning: PUBLIC_EEG_ONLY; NON_CLINICAL; NO_DEPLOYMENT_CLAIM</w:t>
      </w:r>
    </w:p>
    <w:p>
      <w:pPr>
        <w:pStyle w:val="Heading1"/>
      </w:pPr>
      <w:r>
        <w:t>9. Governed Tables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DDEBF7"/>
          </w:tcPr>
          <w:p>
            <w:r>
              <w:rPr>
                <w:sz w:val="14"/>
              </w:rPr>
              <w:t>Table ID</w:t>
            </w:r>
          </w:p>
        </w:tc>
        <w:tc>
          <w:tcPr>
            <w:tcW w:type="dxa" w:w="2628"/>
            <w:shd w:fill="DDEBF7"/>
          </w:tcPr>
          <w:p>
            <w:r>
              <w:rPr>
                <w:sz w:val="14"/>
              </w:rPr>
              <w:t>Title</w:t>
            </w:r>
          </w:p>
        </w:tc>
        <w:tc>
          <w:tcPr>
            <w:tcW w:type="dxa" w:w="2628"/>
            <w:shd w:fill="DDEBF7"/>
          </w:tcPr>
          <w:p>
            <w:r>
              <w:rPr>
                <w:sz w:val="14"/>
              </w:rPr>
              <w:t>Rows</w:t>
            </w:r>
          </w:p>
        </w:tc>
        <w:tc>
          <w:tcPr>
            <w:tcW w:type="dxa" w:w="2628"/>
            <w:shd w:fill="DDEBF7"/>
          </w:tcPr>
          <w:p>
            <w:r>
              <w:rPr>
                <w:sz w:val="14"/>
              </w:rPr>
              <w:t>Export</w:t>
            </w:r>
          </w:p>
        </w:tc>
      </w:tr>
      <w:tr>
        <w:tc>
          <w:tcPr>
            <w:tcW w:type="dxa" w:w="2628"/>
            <w:vAlign w:val="top"/>
          </w:tcPr>
          <w:p>
            <w:r>
              <w:rPr>
                <w:sz w:val="14"/>
              </w:rPr>
              <w:t>L10-P01-TBL-001</w:t>
            </w:r>
          </w:p>
        </w:tc>
        <w:tc>
          <w:tcPr>
            <w:tcW w:type="dxa" w:w="2628"/>
            <w:vAlign w:val="top"/>
          </w:tcPr>
          <w:p>
            <w:r>
              <w:rPr>
                <w:sz w:val="14"/>
              </w:rPr>
              <w:t>Source dataset inventory</w:t>
            </w:r>
          </w:p>
        </w:tc>
        <w:tc>
          <w:tcPr>
            <w:tcW w:type="dxa" w:w="2628"/>
            <w:vAlign w:val="top"/>
          </w:tcPr>
          <w:p>
            <w:r>
              <w:rPr>
                <w:sz w:val="14"/>
              </w:rPr>
              <w:t>3</w:t>
            </w:r>
          </w:p>
        </w:tc>
        <w:tc>
          <w:tcPr>
            <w:tcW w:type="dxa" w:w="2628"/>
            <w:vAlign w:val="top"/>
          </w:tcPr>
          <w:p>
            <w:r>
              <w:rPr>
                <w:sz w:val="14"/>
              </w:rPr>
              <w:t>tables/exports/L10-P01-TBL-001.csv</w:t>
            </w:r>
          </w:p>
        </w:tc>
      </w:tr>
      <w:tr>
        <w:tc>
          <w:tcPr>
            <w:tcW w:type="dxa" w:w="2628"/>
            <w:vAlign w:val="top"/>
          </w:tcPr>
          <w:p>
            <w:r>
              <w:rPr>
                <w:sz w:val="14"/>
              </w:rPr>
              <w:t>L10-P01-TBL-002</w:t>
            </w:r>
          </w:p>
        </w:tc>
        <w:tc>
          <w:tcPr>
            <w:tcW w:type="dxa" w:w="2628"/>
            <w:vAlign w:val="top"/>
          </w:tcPr>
          <w:p>
            <w:r>
              <w:rPr>
                <w:sz w:val="14"/>
              </w:rPr>
              <w:t>Event/window denominator</w:t>
            </w:r>
          </w:p>
        </w:tc>
        <w:tc>
          <w:tcPr>
            <w:tcW w:type="dxa" w:w="2628"/>
            <w:vAlign w:val="top"/>
          </w:tcPr>
          <w:p>
            <w:r>
              <w:rPr>
                <w:sz w:val="14"/>
              </w:rPr>
              <w:t>4</w:t>
            </w:r>
          </w:p>
        </w:tc>
        <w:tc>
          <w:tcPr>
            <w:tcW w:type="dxa" w:w="2628"/>
            <w:vAlign w:val="top"/>
          </w:tcPr>
          <w:p>
            <w:r>
              <w:rPr>
                <w:sz w:val="14"/>
              </w:rPr>
              <w:t>tables/exports/L10-P01-TBL-002.csv</w:t>
            </w:r>
          </w:p>
        </w:tc>
      </w:tr>
      <w:tr>
        <w:tc>
          <w:tcPr>
            <w:tcW w:type="dxa" w:w="2628"/>
            <w:vAlign w:val="top"/>
          </w:tcPr>
          <w:p>
            <w:r>
              <w:rPr>
                <w:sz w:val="14"/>
              </w:rPr>
              <w:t>L10-P01-TBL-003</w:t>
            </w:r>
          </w:p>
        </w:tc>
        <w:tc>
          <w:tcPr>
            <w:tcW w:type="dxa" w:w="2628"/>
            <w:vAlign w:val="top"/>
          </w:tcPr>
          <w:p>
            <w:r>
              <w:rPr>
                <w:sz w:val="14"/>
              </w:rPr>
              <w:t>Subject split allocation</w:t>
            </w:r>
          </w:p>
        </w:tc>
        <w:tc>
          <w:tcPr>
            <w:tcW w:type="dxa" w:w="2628"/>
            <w:vAlign w:val="top"/>
          </w:tcPr>
          <w:p>
            <w:r>
              <w:rPr>
                <w:sz w:val="14"/>
              </w:rPr>
              <w:t>3</w:t>
            </w:r>
          </w:p>
        </w:tc>
        <w:tc>
          <w:tcPr>
            <w:tcW w:type="dxa" w:w="2628"/>
            <w:vAlign w:val="top"/>
          </w:tcPr>
          <w:p>
            <w:r>
              <w:rPr>
                <w:sz w:val="14"/>
              </w:rPr>
              <w:t>tables/exports/L10-P01-TBL-003.csv</w:t>
            </w:r>
          </w:p>
        </w:tc>
      </w:tr>
      <w:tr>
        <w:tc>
          <w:tcPr>
            <w:tcW w:type="dxa" w:w="2628"/>
            <w:vAlign w:val="top"/>
          </w:tcPr>
          <w:p>
            <w:r>
              <w:rPr>
                <w:sz w:val="14"/>
              </w:rPr>
              <w:t>L10-P01-TBL-004</w:t>
            </w:r>
          </w:p>
        </w:tc>
        <w:tc>
          <w:tcPr>
            <w:tcW w:type="dxa" w:w="2628"/>
            <w:vAlign w:val="top"/>
          </w:tcPr>
          <w:p>
            <w:r>
              <w:rPr>
                <w:sz w:val="14"/>
              </w:rPr>
              <w:t>Preprocessing contract</w:t>
            </w:r>
          </w:p>
        </w:tc>
        <w:tc>
          <w:tcPr>
            <w:tcW w:type="dxa" w:w="2628"/>
            <w:vAlign w:val="top"/>
          </w:tcPr>
          <w:p>
            <w:r>
              <w:rPr>
                <w:sz w:val="14"/>
              </w:rPr>
              <w:t>8</w:t>
            </w:r>
          </w:p>
        </w:tc>
        <w:tc>
          <w:tcPr>
            <w:tcW w:type="dxa" w:w="2628"/>
            <w:vAlign w:val="top"/>
          </w:tcPr>
          <w:p>
            <w:r>
              <w:rPr>
                <w:sz w:val="14"/>
              </w:rPr>
              <w:t>tables/exports/L10-P01-TBL-004.csv</w:t>
            </w:r>
          </w:p>
        </w:tc>
      </w:tr>
      <w:tr>
        <w:tc>
          <w:tcPr>
            <w:tcW w:type="dxa" w:w="2628"/>
            <w:vAlign w:val="top"/>
          </w:tcPr>
          <w:p>
            <w:r>
              <w:rPr>
                <w:sz w:val="14"/>
              </w:rPr>
              <w:t>L10-P01-TBL-005</w:t>
            </w:r>
          </w:p>
        </w:tc>
        <w:tc>
          <w:tcPr>
            <w:tcW w:type="dxa" w:w="2628"/>
            <w:vAlign w:val="top"/>
          </w:tcPr>
          <w:p>
            <w:r>
              <w:rPr>
                <w:sz w:val="14"/>
              </w:rPr>
              <w:t>Quality outcomes</w:t>
            </w:r>
          </w:p>
        </w:tc>
        <w:tc>
          <w:tcPr>
            <w:tcW w:type="dxa" w:w="2628"/>
            <w:vAlign w:val="top"/>
          </w:tcPr>
          <w:p>
            <w:r>
              <w:rPr>
                <w:sz w:val="14"/>
              </w:rPr>
              <w:t>1</w:t>
            </w:r>
          </w:p>
        </w:tc>
        <w:tc>
          <w:tcPr>
            <w:tcW w:type="dxa" w:w="2628"/>
            <w:vAlign w:val="top"/>
          </w:tcPr>
          <w:p>
            <w:r>
              <w:rPr>
                <w:sz w:val="14"/>
              </w:rPr>
              <w:t>tables/exports/L10-P01-TBL-005.csv</w:t>
            </w:r>
          </w:p>
        </w:tc>
      </w:tr>
      <w:tr>
        <w:tc>
          <w:tcPr>
            <w:tcW w:type="dxa" w:w="2628"/>
            <w:vAlign w:val="top"/>
          </w:tcPr>
          <w:p>
            <w:r>
              <w:rPr>
                <w:sz w:val="14"/>
              </w:rPr>
              <w:t>L10-P01-TBL-006</w:t>
            </w:r>
          </w:p>
        </w:tc>
        <w:tc>
          <w:tcPr>
            <w:tcW w:type="dxa" w:w="2628"/>
            <w:vAlign w:val="top"/>
          </w:tcPr>
          <w:p>
            <w:r>
              <w:rPr>
                <w:sz w:val="14"/>
              </w:rPr>
              <w:t>A0–A13 readiness</w:t>
            </w:r>
          </w:p>
        </w:tc>
        <w:tc>
          <w:tcPr>
            <w:tcW w:type="dxa" w:w="2628"/>
            <w:vAlign w:val="top"/>
          </w:tcPr>
          <w:p>
            <w:r>
              <w:rPr>
                <w:sz w:val="14"/>
              </w:rPr>
              <w:t>14</w:t>
            </w:r>
          </w:p>
        </w:tc>
        <w:tc>
          <w:tcPr>
            <w:tcW w:type="dxa" w:w="2628"/>
            <w:vAlign w:val="top"/>
          </w:tcPr>
          <w:p>
            <w:r>
              <w:rPr>
                <w:sz w:val="14"/>
              </w:rPr>
              <w:t>tables/exports/L10-P01-TBL-006.csv</w:t>
            </w:r>
          </w:p>
        </w:tc>
      </w:tr>
      <w:tr>
        <w:tc>
          <w:tcPr>
            <w:tcW w:type="dxa" w:w="2628"/>
            <w:vAlign w:val="top"/>
          </w:tcPr>
          <w:p>
            <w:r>
              <w:rPr>
                <w:sz w:val="14"/>
              </w:rPr>
              <w:t>L10-P01-TBL-007</w:t>
            </w:r>
          </w:p>
        </w:tc>
        <w:tc>
          <w:tcPr>
            <w:tcW w:type="dxa" w:w="2628"/>
            <w:vAlign w:val="top"/>
          </w:tcPr>
          <w:p>
            <w:r>
              <w:rPr>
                <w:sz w:val="14"/>
              </w:rPr>
              <w:t>A4 profile</w:t>
            </w:r>
          </w:p>
        </w:tc>
        <w:tc>
          <w:tcPr>
            <w:tcW w:type="dxa" w:w="2628"/>
            <w:vAlign w:val="top"/>
          </w:tcPr>
          <w:p>
            <w:r>
              <w:rPr>
                <w:sz w:val="14"/>
              </w:rPr>
              <w:t>1</w:t>
            </w:r>
          </w:p>
        </w:tc>
        <w:tc>
          <w:tcPr>
            <w:tcW w:type="dxa" w:w="2628"/>
            <w:vAlign w:val="top"/>
          </w:tcPr>
          <w:p>
            <w:r>
              <w:rPr>
                <w:sz w:val="14"/>
              </w:rPr>
              <w:t>tables/exports/L10-P01-TBL-007.csv</w:t>
            </w:r>
          </w:p>
        </w:tc>
      </w:tr>
      <w:tr>
        <w:tc>
          <w:tcPr>
            <w:tcW w:type="dxa" w:w="2628"/>
            <w:vAlign w:val="top"/>
          </w:tcPr>
          <w:p>
            <w:r>
              <w:rPr>
                <w:sz w:val="14"/>
              </w:rPr>
              <w:t>L10-P01-TBL-008</w:t>
            </w:r>
          </w:p>
        </w:tc>
        <w:tc>
          <w:tcPr>
            <w:tcW w:type="dxa" w:w="2628"/>
            <w:vAlign w:val="top"/>
          </w:tcPr>
          <w:p>
            <w:r>
              <w:rPr>
                <w:sz w:val="14"/>
              </w:rPr>
              <w:t>External artifacts</w:t>
            </w:r>
          </w:p>
        </w:tc>
        <w:tc>
          <w:tcPr>
            <w:tcW w:type="dxa" w:w="2628"/>
            <w:vAlign w:val="top"/>
          </w:tcPr>
          <w:p>
            <w:r>
              <w:rPr>
                <w:sz w:val="14"/>
              </w:rPr>
              <w:t>2</w:t>
            </w:r>
          </w:p>
        </w:tc>
        <w:tc>
          <w:tcPr>
            <w:tcW w:type="dxa" w:w="2628"/>
            <w:vAlign w:val="top"/>
          </w:tcPr>
          <w:p>
            <w:r>
              <w:rPr>
                <w:sz w:val="14"/>
              </w:rPr>
              <w:t>tables/exports/L10-P01-TBL-008.csv</w:t>
            </w:r>
          </w:p>
        </w:tc>
      </w:tr>
      <w:tr>
        <w:tc>
          <w:tcPr>
            <w:tcW w:type="dxa" w:w="2628"/>
            <w:vAlign w:val="top"/>
          </w:tcPr>
          <w:p>
            <w:r>
              <w:rPr>
                <w:sz w:val="14"/>
              </w:rPr>
              <w:t>L10-P01-TBL-009</w:t>
            </w:r>
          </w:p>
        </w:tc>
        <w:tc>
          <w:tcPr>
            <w:tcW w:type="dxa" w:w="2628"/>
            <w:vAlign w:val="top"/>
          </w:tcPr>
          <w:p>
            <w:r>
              <w:rPr>
                <w:sz w:val="14"/>
              </w:rPr>
              <w:t>Execution closure</w:t>
            </w:r>
          </w:p>
        </w:tc>
        <w:tc>
          <w:tcPr>
            <w:tcW w:type="dxa" w:w="2628"/>
            <w:vAlign w:val="top"/>
          </w:tcPr>
          <w:p>
            <w:r>
              <w:rPr>
                <w:sz w:val="14"/>
              </w:rPr>
              <w:t>5</w:t>
            </w:r>
          </w:p>
        </w:tc>
        <w:tc>
          <w:tcPr>
            <w:tcW w:type="dxa" w:w="2628"/>
            <w:vAlign w:val="top"/>
          </w:tcPr>
          <w:p>
            <w:r>
              <w:rPr>
                <w:sz w:val="14"/>
              </w:rPr>
              <w:t>tables/exports/L10-P01-TBL-009.csv</w:t>
            </w:r>
          </w:p>
        </w:tc>
      </w:tr>
      <w:tr>
        <w:tc>
          <w:tcPr>
            <w:tcW w:type="dxa" w:w="2628"/>
            <w:vAlign w:val="top"/>
          </w:tcPr>
          <w:p>
            <w:r>
              <w:rPr>
                <w:sz w:val="14"/>
              </w:rPr>
              <w:t>L10-P01-TBL-010</w:t>
            </w:r>
          </w:p>
        </w:tc>
        <w:tc>
          <w:tcPr>
            <w:tcW w:type="dxa" w:w="2628"/>
            <w:vAlign w:val="top"/>
          </w:tcPr>
          <w:p>
            <w:r>
              <w:rPr>
                <w:sz w:val="14"/>
              </w:rPr>
              <w:t>Repair/rerun history</w:t>
            </w:r>
          </w:p>
        </w:tc>
        <w:tc>
          <w:tcPr>
            <w:tcW w:type="dxa" w:w="2628"/>
            <w:vAlign w:val="top"/>
          </w:tcPr>
          <w:p>
            <w:r>
              <w:rPr>
                <w:sz w:val="14"/>
              </w:rPr>
              <w:t>8</w:t>
            </w:r>
          </w:p>
        </w:tc>
        <w:tc>
          <w:tcPr>
            <w:tcW w:type="dxa" w:w="2628"/>
            <w:vAlign w:val="top"/>
          </w:tcPr>
          <w:p>
            <w:r>
              <w:rPr>
                <w:sz w:val="14"/>
              </w:rPr>
              <w:t>tables/exports/L10-P01-TBL-010.csv</w:t>
            </w:r>
          </w:p>
        </w:tc>
      </w:tr>
      <w:tr>
        <w:tc>
          <w:tcPr>
            <w:tcW w:type="dxa" w:w="2628"/>
            <w:vAlign w:val="top"/>
          </w:tcPr>
          <w:p>
            <w:r>
              <w:rPr>
                <w:sz w:val="14"/>
              </w:rPr>
              <w:t>L10-P01-TBL-011</w:t>
            </w:r>
          </w:p>
        </w:tc>
        <w:tc>
          <w:tcPr>
            <w:tcW w:type="dxa" w:w="2628"/>
            <w:vAlign w:val="top"/>
          </w:tcPr>
          <w:p>
            <w:r>
              <w:rPr>
                <w:sz w:val="14"/>
              </w:rPr>
              <w:t>Reviewed claims</w:t>
            </w:r>
          </w:p>
        </w:tc>
        <w:tc>
          <w:tcPr>
            <w:tcW w:type="dxa" w:w="2628"/>
            <w:vAlign w:val="top"/>
          </w:tcPr>
          <w:p>
            <w:r>
              <w:rPr>
                <w:sz w:val="14"/>
              </w:rPr>
              <w:t>12</w:t>
            </w:r>
          </w:p>
        </w:tc>
        <w:tc>
          <w:tcPr>
            <w:tcW w:type="dxa" w:w="2628"/>
            <w:vAlign w:val="top"/>
          </w:tcPr>
          <w:p>
            <w:r>
              <w:rPr>
                <w:sz w:val="14"/>
              </w:rPr>
              <w:t>tables/exports/L10-P01-TBL-011.csv</w:t>
            </w:r>
          </w:p>
        </w:tc>
      </w:tr>
      <w:tr>
        <w:tc>
          <w:tcPr>
            <w:tcW w:type="dxa" w:w="2628"/>
            <w:vAlign w:val="top"/>
          </w:tcPr>
          <w:p>
            <w:r>
              <w:rPr>
                <w:sz w:val="14"/>
              </w:rPr>
              <w:t>L10-P01-TBL-012</w:t>
            </w:r>
          </w:p>
        </w:tc>
        <w:tc>
          <w:tcPr>
            <w:tcW w:type="dxa" w:w="2628"/>
            <w:vAlign w:val="top"/>
          </w:tcPr>
          <w:p>
            <w:r>
              <w:rPr>
                <w:sz w:val="14"/>
              </w:rPr>
              <w:t>Limitation register</w:t>
            </w:r>
          </w:p>
        </w:tc>
        <w:tc>
          <w:tcPr>
            <w:tcW w:type="dxa" w:w="2628"/>
            <w:vAlign w:val="top"/>
          </w:tcPr>
          <w:p>
            <w:r>
              <w:rPr>
                <w:sz w:val="14"/>
              </w:rPr>
              <w:t>20</w:t>
            </w:r>
          </w:p>
        </w:tc>
        <w:tc>
          <w:tcPr>
            <w:tcW w:type="dxa" w:w="2628"/>
            <w:vAlign w:val="top"/>
          </w:tcPr>
          <w:p>
            <w:r>
              <w:rPr>
                <w:sz w:val="14"/>
              </w:rPr>
              <w:t>tables/exports/L10-P01-TBL-012.csv</w:t>
            </w:r>
          </w:p>
        </w:tc>
      </w:tr>
      <w:tr>
        <w:tc>
          <w:tcPr>
            <w:tcW w:type="dxa" w:w="2628"/>
            <w:vAlign w:val="top"/>
          </w:tcPr>
          <w:p>
            <w:r>
              <w:rPr>
                <w:sz w:val="14"/>
              </w:rPr>
              <w:t>L10-P01-TBL-013</w:t>
            </w:r>
          </w:p>
        </w:tc>
        <w:tc>
          <w:tcPr>
            <w:tcW w:type="dxa" w:w="2628"/>
            <w:vAlign w:val="top"/>
          </w:tcPr>
          <w:p>
            <w:r>
              <w:rPr>
                <w:sz w:val="14"/>
              </w:rPr>
              <w:t>Negative/deferred/rejected claims</w:t>
            </w:r>
          </w:p>
        </w:tc>
        <w:tc>
          <w:tcPr>
            <w:tcW w:type="dxa" w:w="2628"/>
            <w:vAlign w:val="top"/>
          </w:tcPr>
          <w:p>
            <w:r>
              <w:rPr>
                <w:sz w:val="14"/>
              </w:rPr>
              <w:t>2</w:t>
            </w:r>
          </w:p>
        </w:tc>
        <w:tc>
          <w:tcPr>
            <w:tcW w:type="dxa" w:w="2628"/>
            <w:vAlign w:val="top"/>
          </w:tcPr>
          <w:p>
            <w:r>
              <w:rPr>
                <w:sz w:val="14"/>
              </w:rPr>
              <w:t>tables/exports/L10-P01-TBL-013.csv</w:t>
            </w:r>
          </w:p>
        </w:tc>
      </w:tr>
      <w:tr>
        <w:tc>
          <w:tcPr>
            <w:tcW w:type="dxa" w:w="2628"/>
            <w:vAlign w:val="top"/>
          </w:tcPr>
          <w:p>
            <w:r>
              <w:rPr>
                <w:sz w:val="14"/>
              </w:rPr>
              <w:t>L10-P01-TBL-014</w:t>
            </w:r>
          </w:p>
        </w:tc>
        <w:tc>
          <w:tcPr>
            <w:tcW w:type="dxa" w:w="2628"/>
            <w:vAlign w:val="top"/>
          </w:tcPr>
          <w:p>
            <w:r>
              <w:rPr>
                <w:sz w:val="14"/>
              </w:rPr>
              <w:t>P02 handoff</w:t>
            </w:r>
          </w:p>
        </w:tc>
        <w:tc>
          <w:tcPr>
            <w:tcW w:type="dxa" w:w="2628"/>
            <w:vAlign w:val="top"/>
          </w:tcPr>
          <w:p>
            <w:r>
              <w:rPr>
                <w:sz w:val="14"/>
              </w:rPr>
              <w:t>7</w:t>
            </w:r>
          </w:p>
        </w:tc>
        <w:tc>
          <w:tcPr>
            <w:tcW w:type="dxa" w:w="2628"/>
            <w:vAlign w:val="top"/>
          </w:tcPr>
          <w:p>
            <w:r>
              <w:rPr>
                <w:sz w:val="14"/>
              </w:rPr>
              <w:t>tables/exports/L10-P01-TBL-014.csv</w:t>
            </w:r>
          </w:p>
        </w:tc>
      </w:tr>
    </w:tbl>
    <w:p>
      <w:pPr>
        <w:pStyle w:val="Heading1"/>
      </w:pPr>
      <w:r>
        <w:t>10. External Artifact Retrieval</w:t>
      </w:r>
    </w:p>
    <w:p>
      <w:pPr>
        <w:pStyle w:val="Heading2"/>
      </w:pPr>
      <w:r>
        <w:t>P01-L1-DERIVED-WINDOWS-d03f0a7c869dd95a-20260806222242-68a91473</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DDEBF7"/>
          </w:tcPr>
          <w:p>
            <w:r>
              <w:rPr>
                <w:sz w:val="14"/>
              </w:rPr>
              <w:t>Field</w:t>
            </w:r>
          </w:p>
        </w:tc>
        <w:tc>
          <w:tcPr>
            <w:tcW w:type="dxa" w:w="5256"/>
            <w:shd w:fill="DDEBF7"/>
          </w:tcPr>
          <w:p>
            <w:r>
              <w:rPr>
                <w:sz w:val="14"/>
              </w:rPr>
              <w:t>Value</w:t>
            </w:r>
          </w:p>
        </w:tc>
      </w:tr>
      <w:tr>
        <w:tc>
          <w:tcPr>
            <w:tcW w:type="dxa" w:w="5256"/>
            <w:vAlign w:val="top"/>
          </w:tcPr>
          <w:p>
            <w:r>
              <w:rPr>
                <w:sz w:val="14"/>
              </w:rPr>
              <w:t>Provider</w:t>
            </w:r>
          </w:p>
        </w:tc>
        <w:tc>
          <w:tcPr>
            <w:tcW w:type="dxa" w:w="5256"/>
            <w:vAlign w:val="top"/>
          </w:tcPr>
          <w:p>
            <w:r>
              <w:rPr>
                <w:sz w:val="14"/>
              </w:rPr>
              <w:t>Kaggle</w:t>
            </w:r>
          </w:p>
        </w:tc>
      </w:tr>
      <w:tr>
        <w:tc>
          <w:tcPr>
            <w:tcW w:type="dxa" w:w="5256"/>
            <w:vAlign w:val="top"/>
          </w:tcPr>
          <w:p>
            <w:r>
              <w:rPr>
                <w:sz w:val="14"/>
              </w:rPr>
              <w:t>Dataset</w:t>
            </w:r>
          </w:p>
        </w:tc>
        <w:tc>
          <w:tcPr>
            <w:tcW w:type="dxa" w:w="5256"/>
            <w:vAlign w:val="top"/>
          </w:tcPr>
          <w:p>
            <w:r>
              <w:rPr>
                <w:sz w:val="14"/>
              </w:rPr>
              <w:t>csthv999z/iharq-p01-l1-derived-windows-d03f0a7c869d-20260806222242-68a91473</w:t>
            </w:r>
          </w:p>
        </w:tc>
      </w:tr>
      <w:tr>
        <w:tc>
          <w:tcPr>
            <w:tcW w:type="dxa" w:w="5256"/>
            <w:vAlign w:val="top"/>
          </w:tcPr>
          <w:p>
            <w:r>
              <w:rPr>
                <w:sz w:val="14"/>
              </w:rPr>
              <w:t>Provider revision</w:t>
            </w:r>
          </w:p>
        </w:tc>
        <w:tc>
          <w:tcPr>
            <w:tcW w:type="dxa" w:w="5256"/>
            <w:vAlign w:val="top"/>
          </w:tcPr>
          <w:p>
            <w:r>
              <w:rPr>
                <w:sz w:val="14"/>
              </w:rPr>
              <w:t>2</w:t>
            </w:r>
          </w:p>
        </w:tc>
      </w:tr>
      <w:tr>
        <w:tc>
          <w:tcPr>
            <w:tcW w:type="dxa" w:w="5256"/>
            <w:vAlign w:val="top"/>
          </w:tcPr>
          <w:p>
            <w:r>
              <w:rPr>
                <w:sz w:val="14"/>
              </w:rPr>
              <w:t>Logical revision</w:t>
            </w:r>
          </w:p>
        </w:tc>
        <w:tc>
          <w:tcPr>
            <w:tcW w:type="dxa" w:w="5256"/>
            <w:vAlign w:val="top"/>
          </w:tcPr>
          <w:p>
            <w:r>
              <w:rPr>
                <w:sz w:val="14"/>
              </w:rPr>
              <w:t>1</w:t>
            </w:r>
          </w:p>
        </w:tc>
      </w:tr>
      <w:tr>
        <w:tc>
          <w:tcPr>
            <w:tcW w:type="dxa" w:w="5256"/>
            <w:vAlign w:val="top"/>
          </w:tcPr>
          <w:p>
            <w:r>
              <w:rPr>
                <w:sz w:val="14"/>
              </w:rPr>
              <w:t>Manifest SHA-256</w:t>
            </w:r>
          </w:p>
        </w:tc>
        <w:tc>
          <w:tcPr>
            <w:tcW w:type="dxa" w:w="5256"/>
            <w:vAlign w:val="top"/>
          </w:tcPr>
          <w:p>
            <w:r>
              <w:rPr>
                <w:sz w:val="14"/>
              </w:rPr>
              <w:t>dc21f418e9a1add62adb346f627d5d729735a5f1ecaa1d771f6fa5cfede627e1</w:t>
            </w:r>
          </w:p>
        </w:tc>
      </w:tr>
      <w:tr>
        <w:tc>
          <w:tcPr>
            <w:tcW w:type="dxa" w:w="5256"/>
            <w:vAlign w:val="top"/>
          </w:tcPr>
          <w:p>
            <w:r>
              <w:rPr>
                <w:sz w:val="14"/>
              </w:rPr>
              <w:t>Size bytes</w:t>
            </w:r>
          </w:p>
        </w:tc>
        <w:tc>
          <w:tcPr>
            <w:tcW w:type="dxa" w:w="5256"/>
            <w:vAlign w:val="top"/>
          </w:tcPr>
          <w:p>
            <w:r>
              <w:rPr>
                <w:sz w:val="14"/>
              </w:rPr>
              <w:t>1,166,652,764</w:t>
            </w:r>
          </w:p>
        </w:tc>
      </w:tr>
      <w:tr>
        <w:tc>
          <w:tcPr>
            <w:tcW w:type="dxa" w:w="5256"/>
            <w:vAlign w:val="top"/>
          </w:tcPr>
          <w:p>
            <w:r>
              <w:rPr>
                <w:sz w:val="14"/>
              </w:rPr>
              <w:t>Format</w:t>
            </w:r>
          </w:p>
        </w:tc>
        <w:tc>
          <w:tcPr>
            <w:tcW w:type="dxa" w:w="5256"/>
            <w:vAlign w:val="top"/>
          </w:tcPr>
          <w:p>
            <w:r>
              <w:rPr>
                <w:sz w:val="14"/>
              </w:rPr>
              <w:t>LOSSLESS_HDF5_SUBJECT_SHARDS</w:t>
            </w:r>
          </w:p>
        </w:tc>
      </w:tr>
      <w:tr>
        <w:tc>
          <w:tcPr>
            <w:tcW w:type="dxa" w:w="5256"/>
            <w:vAlign w:val="top"/>
          </w:tcPr>
          <w:p>
            <w:r>
              <w:rPr>
                <w:sz w:val="14"/>
              </w:rPr>
              <w:t>Access</w:t>
            </w:r>
          </w:p>
        </w:tc>
        <w:tc>
          <w:tcPr>
            <w:tcW w:type="dxa" w:w="5256"/>
            <w:vAlign w:val="top"/>
          </w:tcPr>
          <w:p>
            <w:r>
              <w:rPr>
                <w:sz w:val="14"/>
              </w:rPr>
              <w:t>PRIVATE Kaggle Dataset access + source-license compliance</w:t>
            </w:r>
          </w:p>
        </w:tc>
      </w:tr>
    </w:tbl>
    <w:p>
      <w:pPr>
        <w:pStyle w:val="Heading2"/>
      </w:pPr>
      <w:r>
        <w:t>P01-L1-A4-DERIVED-WINDOWS-4cd080393345e8aa-20260807143013-663eab13</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DDEBF7"/>
          </w:tcPr>
          <w:p>
            <w:r>
              <w:rPr>
                <w:sz w:val="14"/>
              </w:rPr>
              <w:t>Field</w:t>
            </w:r>
          </w:p>
        </w:tc>
        <w:tc>
          <w:tcPr>
            <w:tcW w:type="dxa" w:w="5256"/>
            <w:shd w:fill="DDEBF7"/>
          </w:tcPr>
          <w:p>
            <w:r>
              <w:rPr>
                <w:sz w:val="14"/>
              </w:rPr>
              <w:t>Value</w:t>
            </w:r>
          </w:p>
        </w:tc>
      </w:tr>
      <w:tr>
        <w:tc>
          <w:tcPr>
            <w:tcW w:type="dxa" w:w="5256"/>
            <w:vAlign w:val="top"/>
          </w:tcPr>
          <w:p>
            <w:r>
              <w:rPr>
                <w:sz w:val="14"/>
              </w:rPr>
              <w:t>Provider</w:t>
            </w:r>
          </w:p>
        </w:tc>
        <w:tc>
          <w:tcPr>
            <w:tcW w:type="dxa" w:w="5256"/>
            <w:vAlign w:val="top"/>
          </w:tcPr>
          <w:p>
            <w:r>
              <w:rPr>
                <w:sz w:val="14"/>
              </w:rPr>
              <w:t>Kaggle</w:t>
            </w:r>
          </w:p>
        </w:tc>
      </w:tr>
      <w:tr>
        <w:tc>
          <w:tcPr>
            <w:tcW w:type="dxa" w:w="5256"/>
            <w:vAlign w:val="top"/>
          </w:tcPr>
          <w:p>
            <w:r>
              <w:rPr>
                <w:sz w:val="14"/>
              </w:rPr>
              <w:t>Dataset</w:t>
            </w:r>
          </w:p>
        </w:tc>
        <w:tc>
          <w:tcPr>
            <w:tcW w:type="dxa" w:w="5256"/>
            <w:vAlign w:val="top"/>
          </w:tcPr>
          <w:p>
            <w:r>
              <w:rPr>
                <w:sz w:val="14"/>
              </w:rPr>
              <w:t>csthv999z/iharq-p01-l1-a4-d03f0a7c-9a7c6108</w:t>
            </w:r>
          </w:p>
        </w:tc>
      </w:tr>
      <w:tr>
        <w:tc>
          <w:tcPr>
            <w:tcW w:type="dxa" w:w="5256"/>
            <w:vAlign w:val="top"/>
          </w:tcPr>
          <w:p>
            <w:r>
              <w:rPr>
                <w:sz w:val="14"/>
              </w:rPr>
              <w:t>Provider revision</w:t>
            </w:r>
          </w:p>
        </w:tc>
        <w:tc>
          <w:tcPr>
            <w:tcW w:type="dxa" w:w="5256"/>
            <w:vAlign w:val="top"/>
          </w:tcPr>
          <w:p>
            <w:r>
              <w:rPr>
                <w:sz w:val="14"/>
              </w:rPr>
              <w:t>1</w:t>
            </w:r>
          </w:p>
        </w:tc>
      </w:tr>
      <w:tr>
        <w:tc>
          <w:tcPr>
            <w:tcW w:type="dxa" w:w="5256"/>
            <w:vAlign w:val="top"/>
          </w:tcPr>
          <w:p>
            <w:r>
              <w:rPr>
                <w:sz w:val="14"/>
              </w:rPr>
              <w:t>Logical revision</w:t>
            </w:r>
          </w:p>
        </w:tc>
        <w:tc>
          <w:tcPr>
            <w:tcW w:type="dxa" w:w="5256"/>
            <w:vAlign w:val="top"/>
          </w:tcPr>
          <w:p>
            <w:r>
              <w:rPr>
                <w:sz w:val="14"/>
              </w:rPr>
              <w:t>2</w:t>
            </w:r>
          </w:p>
        </w:tc>
      </w:tr>
      <w:tr>
        <w:tc>
          <w:tcPr>
            <w:tcW w:type="dxa" w:w="5256"/>
            <w:vAlign w:val="top"/>
          </w:tcPr>
          <w:p>
            <w:r>
              <w:rPr>
                <w:sz w:val="14"/>
              </w:rPr>
              <w:t>Manifest SHA-256</w:t>
            </w:r>
          </w:p>
        </w:tc>
        <w:tc>
          <w:tcPr>
            <w:tcW w:type="dxa" w:w="5256"/>
            <w:vAlign w:val="top"/>
          </w:tcPr>
          <w:p>
            <w:r>
              <w:rPr>
                <w:sz w:val="14"/>
              </w:rPr>
              <w:t>29124d59907610b1545e0a2b5d1811a4d4a2bf1df64cad49aa880f4721c47305</w:t>
            </w:r>
          </w:p>
        </w:tc>
      </w:tr>
      <w:tr>
        <w:tc>
          <w:tcPr>
            <w:tcW w:type="dxa" w:w="5256"/>
            <w:vAlign w:val="top"/>
          </w:tcPr>
          <w:p>
            <w:r>
              <w:rPr>
                <w:sz w:val="14"/>
              </w:rPr>
              <w:t>Size bytes</w:t>
            </w:r>
          </w:p>
        </w:tc>
        <w:tc>
          <w:tcPr>
            <w:tcW w:type="dxa" w:w="5256"/>
            <w:vAlign w:val="top"/>
          </w:tcPr>
          <w:p>
            <w:r>
              <w:rPr>
                <w:sz w:val="14"/>
              </w:rPr>
              <w:t>1,357,362,334</w:t>
            </w:r>
          </w:p>
        </w:tc>
      </w:tr>
      <w:tr>
        <w:tc>
          <w:tcPr>
            <w:tcW w:type="dxa" w:w="5256"/>
            <w:vAlign w:val="top"/>
          </w:tcPr>
          <w:p>
            <w:r>
              <w:rPr>
                <w:sz w:val="14"/>
              </w:rPr>
              <w:t>Format</w:t>
            </w:r>
          </w:p>
        </w:tc>
        <w:tc>
          <w:tcPr>
            <w:tcW w:type="dxa" w:w="5256"/>
            <w:vAlign w:val="top"/>
          </w:tcPr>
          <w:p>
            <w:r>
              <w:rPr>
                <w:sz w:val="14"/>
              </w:rPr>
              <w:t>LOSSLESS_HDF5_MATCHED_3P5S_SUBJECT_SHARDS_WITH_REGISTERED_VIRTUAL_MULTIWINDOW_VIEWS</w:t>
            </w:r>
          </w:p>
        </w:tc>
      </w:tr>
      <w:tr>
        <w:tc>
          <w:tcPr>
            <w:tcW w:type="dxa" w:w="5256"/>
            <w:vAlign w:val="top"/>
          </w:tcPr>
          <w:p>
            <w:r>
              <w:rPr>
                <w:sz w:val="14"/>
              </w:rPr>
              <w:t>Access</w:t>
            </w:r>
          </w:p>
        </w:tc>
        <w:tc>
          <w:tcPr>
            <w:tcW w:type="dxa" w:w="5256"/>
            <w:vAlign w:val="top"/>
          </w:tcPr>
          <w:p>
            <w:r>
              <w:rPr>
                <w:sz w:val="14"/>
              </w:rPr>
              <w:t>PRIVATE Kaggle Dataset access + source-license compliance</w:t>
            </w:r>
          </w:p>
        </w:tc>
      </w:tr>
    </w:tbl>
    <w:p>
      <w:pPr>
        <w:pStyle w:val="Heading1"/>
      </w:pPr>
      <w:r>
        <w:t>11. Repair / Negative Evidence</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DDEBF7"/>
          </w:tcPr>
          <w:p>
            <w:r>
              <w:rPr>
                <w:sz w:val="14"/>
              </w:rPr>
              <w:t>Revision</w:t>
            </w:r>
          </w:p>
        </w:tc>
        <w:tc>
          <w:tcPr>
            <w:tcW w:type="dxa" w:w="2628"/>
            <w:shd w:fill="DDEBF7"/>
          </w:tcPr>
          <w:p>
            <w:r>
              <w:rPr>
                <w:sz w:val="14"/>
              </w:rPr>
              <w:t>Episode</w:t>
            </w:r>
          </w:p>
        </w:tc>
        <w:tc>
          <w:tcPr>
            <w:tcW w:type="dxa" w:w="2628"/>
            <w:shd w:fill="DDEBF7"/>
          </w:tcPr>
          <w:p>
            <w:r>
              <w:rPr>
                <w:sz w:val="14"/>
              </w:rPr>
              <w:t>Class</w:t>
            </w:r>
          </w:p>
        </w:tc>
        <w:tc>
          <w:tcPr>
            <w:tcW w:type="dxa" w:w="2628"/>
            <w:shd w:fill="DDEBF7"/>
          </w:tcPr>
          <w:p>
            <w:r>
              <w:rPr>
                <w:sz w:val="14"/>
              </w:rPr>
              <w:t>Scientific consequence</w:t>
            </w:r>
          </w:p>
        </w:tc>
      </w:tr>
      <w:tr>
        <w:tc>
          <w:tcPr>
            <w:tcW w:type="dxa" w:w="2628"/>
            <w:vAlign w:val="top"/>
          </w:tcPr>
          <w:p>
            <w:r>
              <w:rPr>
                <w:sz w:val="14"/>
              </w:rPr>
              <w:t>R45</w:t>
            </w:r>
          </w:p>
        </w:tc>
        <w:tc>
          <w:tcPr>
            <w:tcW w:type="dxa" w:w="2628"/>
            <w:vAlign w:val="top"/>
          </w:tcPr>
          <w:p>
            <w:r>
              <w:rPr>
                <w:sz w:val="14"/>
              </w:rPr>
              <w:t>Dependency-ID-normalized core adoption</w:t>
            </w:r>
          </w:p>
        </w:tc>
        <w:tc>
          <w:tcPr>
            <w:tcW w:type="dxa" w:w="2628"/>
            <w:vAlign w:val="top"/>
          </w:tcPr>
          <w:p>
            <w:r>
              <w:rPr>
                <w:sz w:val="14"/>
              </w:rPr>
              <w:t>integration/canonicalization</w:t>
            </w:r>
          </w:p>
        </w:tc>
        <w:tc>
          <w:tcPr>
            <w:tcW w:type="dxa" w:w="2628"/>
            <w:vAlign w:val="top"/>
          </w:tcPr>
          <w:p>
            <w:r>
              <w:rPr>
                <w:sz w:val="14"/>
              </w:rPr>
              <w:t>Core bytes unchanged</w:t>
            </w:r>
          </w:p>
        </w:tc>
      </w:tr>
      <w:tr>
        <w:tc>
          <w:tcPr>
            <w:tcW w:type="dxa" w:w="2628"/>
            <w:vAlign w:val="top"/>
          </w:tcPr>
          <w:p>
            <w:r>
              <w:rPr>
                <w:sz w:val="14"/>
              </w:rPr>
              <w:t>R46</w:t>
            </w:r>
          </w:p>
        </w:tc>
        <w:tc>
          <w:tcPr>
            <w:tcW w:type="dxa" w:w="2628"/>
            <w:vAlign w:val="top"/>
          </w:tcPr>
          <w:p>
            <w:r>
              <w:rPr>
                <w:sz w:val="14"/>
              </w:rPr>
              <w:t>Missing runtime import correction</w:t>
            </w:r>
          </w:p>
        </w:tc>
        <w:tc>
          <w:tcPr>
            <w:tcW w:type="dxa" w:w="2628"/>
            <w:vAlign w:val="top"/>
          </w:tcPr>
          <w:p>
            <w:r>
              <w:rPr>
                <w:sz w:val="14"/>
              </w:rPr>
              <w:t>implementation</w:t>
            </w:r>
          </w:p>
        </w:tc>
        <w:tc>
          <w:tcPr>
            <w:tcW w:type="dxa" w:w="2628"/>
            <w:vAlign w:val="top"/>
          </w:tcPr>
          <w:p>
            <w:r>
              <w:rPr>
                <w:sz w:val="14"/>
              </w:rPr>
              <w:t>Scientific freeze unchanged</w:t>
            </w:r>
          </w:p>
        </w:tc>
      </w:tr>
      <w:tr>
        <w:tc>
          <w:tcPr>
            <w:tcW w:type="dxa" w:w="2628"/>
            <w:vAlign w:val="top"/>
          </w:tcPr>
          <w:p>
            <w:r>
              <w:rPr>
                <w:sz w:val="14"/>
              </w:rPr>
              <w:t>R47</w:t>
            </w:r>
          </w:p>
        </w:tc>
        <w:tc>
          <w:tcPr>
            <w:tcW w:type="dxa" w:w="2628"/>
            <w:vAlign w:val="top"/>
          </w:tcPr>
          <w:p>
            <w:r>
              <w:rPr>
                <w:sz w:val="14"/>
              </w:rPr>
              <w:t>Governed decimal/canonicalization repair</w:t>
            </w:r>
          </w:p>
        </w:tc>
        <w:tc>
          <w:tcPr>
            <w:tcW w:type="dxa" w:w="2628"/>
            <w:vAlign w:val="top"/>
          </w:tcPr>
          <w:p>
            <w:r>
              <w:rPr>
                <w:sz w:val="14"/>
              </w:rPr>
              <w:t>canonicalization</w:t>
            </w:r>
          </w:p>
        </w:tc>
        <w:tc>
          <w:tcPr>
            <w:tcW w:type="dxa" w:w="2628"/>
            <w:vAlign w:val="top"/>
          </w:tcPr>
          <w:p>
            <w:r>
              <w:rPr>
                <w:sz w:val="14"/>
              </w:rPr>
              <w:t>Scientific freeze unchanged</w:t>
            </w:r>
          </w:p>
        </w:tc>
      </w:tr>
      <w:tr>
        <w:tc>
          <w:tcPr>
            <w:tcW w:type="dxa" w:w="2628"/>
            <w:vAlign w:val="top"/>
          </w:tcPr>
          <w:p>
            <w:r>
              <w:rPr>
                <w:sz w:val="14"/>
              </w:rPr>
              <w:t>R48</w:t>
            </w:r>
          </w:p>
        </w:tc>
        <w:tc>
          <w:tcPr>
            <w:tcW w:type="dxa" w:w="2628"/>
            <w:vAlign w:val="top"/>
          </w:tcPr>
          <w:p>
            <w:r>
              <w:rPr>
                <w:sz w:val="14"/>
              </w:rPr>
              <w:t>A4 interface/persistence hardening</w:t>
            </w:r>
          </w:p>
        </w:tc>
        <w:tc>
          <w:tcPr>
            <w:tcW w:type="dxa" w:w="2628"/>
            <w:vAlign w:val="top"/>
          </w:tcPr>
          <w:p>
            <w:r>
              <w:rPr>
                <w:sz w:val="14"/>
              </w:rPr>
              <w:t>integration</w:t>
            </w:r>
          </w:p>
        </w:tc>
        <w:tc>
          <w:tcPr>
            <w:tcW w:type="dxa" w:w="2628"/>
            <w:vAlign w:val="top"/>
          </w:tcPr>
          <w:p>
            <w:r>
              <w:rPr>
                <w:sz w:val="14"/>
              </w:rPr>
              <w:t>No core change</w:t>
            </w:r>
          </w:p>
        </w:tc>
      </w:tr>
      <w:tr>
        <w:tc>
          <w:tcPr>
            <w:tcW w:type="dxa" w:w="2628"/>
            <w:vAlign w:val="top"/>
          </w:tcPr>
          <w:p>
            <w:r>
              <w:rPr>
                <w:sz w:val="14"/>
              </w:rPr>
              <w:t>R49</w:t>
            </w:r>
          </w:p>
        </w:tc>
        <w:tc>
          <w:tcPr>
            <w:tcW w:type="dxa" w:w="2628"/>
            <w:vAlign w:val="top"/>
          </w:tcPr>
          <w:p>
            <w:r>
              <w:rPr>
                <w:sz w:val="14"/>
              </w:rPr>
              <w:t>A4 R1→R2 feasibility correction</w:t>
            </w:r>
          </w:p>
        </w:tc>
        <w:tc>
          <w:tcPr>
            <w:tcW w:type="dxa" w:w="2628"/>
            <w:vAlign w:val="top"/>
          </w:tcPr>
          <w:p>
            <w:r>
              <w:rPr>
                <w:sz w:val="14"/>
              </w:rPr>
              <w:t>scientific design for future control</w:t>
            </w:r>
          </w:p>
        </w:tc>
        <w:tc>
          <w:tcPr>
            <w:tcW w:type="dxa" w:w="2628"/>
            <w:vAlign w:val="top"/>
          </w:tcPr>
          <w:p>
            <w:r>
              <w:rPr>
                <w:sz w:val="14"/>
              </w:rPr>
              <w:t>A4 future profile only; official core unchanged</w:t>
            </w:r>
          </w:p>
        </w:tc>
      </w:tr>
      <w:tr>
        <w:tc>
          <w:tcPr>
            <w:tcW w:type="dxa" w:w="2628"/>
            <w:vAlign w:val="top"/>
          </w:tcPr>
          <w:p>
            <w:r>
              <w:rPr>
                <w:sz w:val="14"/>
              </w:rPr>
              <w:t>R50</w:t>
            </w:r>
          </w:p>
        </w:tc>
        <w:tc>
          <w:tcPr>
            <w:tcW w:type="dxa" w:w="2628"/>
            <w:vAlign w:val="top"/>
          </w:tcPr>
          <w:p>
            <w:r>
              <w:rPr>
                <w:sz w:val="14"/>
              </w:rPr>
              <w:t>Stage-07 revision-guard correction</w:t>
            </w:r>
          </w:p>
        </w:tc>
        <w:tc>
          <w:tcPr>
            <w:tcW w:type="dxa" w:w="2628"/>
            <w:vAlign w:val="top"/>
          </w:tcPr>
          <w:p>
            <w:r>
              <w:rPr>
                <w:sz w:val="14"/>
              </w:rPr>
              <w:t>implementation</w:t>
            </w:r>
          </w:p>
        </w:tc>
        <w:tc>
          <w:tcPr>
            <w:tcW w:type="dxa" w:w="2628"/>
            <w:vAlign w:val="top"/>
          </w:tcPr>
          <w:p>
            <w:r>
              <w:rPr>
                <w:sz w:val="14"/>
              </w:rPr>
              <w:t>No scientific change</w:t>
            </w:r>
          </w:p>
        </w:tc>
      </w:tr>
      <w:tr>
        <w:tc>
          <w:tcPr>
            <w:tcW w:type="dxa" w:w="2628"/>
            <w:vAlign w:val="top"/>
          </w:tcPr>
          <w:p>
            <w:r>
              <w:rPr>
                <w:sz w:val="14"/>
              </w:rPr>
              <w:t>R51–R53</w:t>
            </w:r>
          </w:p>
        </w:tc>
        <w:tc>
          <w:tcPr>
            <w:tcW w:type="dxa" w:w="2628"/>
            <w:vAlign w:val="top"/>
          </w:tcPr>
          <w:p>
            <w:r>
              <w:rPr>
                <w:sz w:val="14"/>
              </w:rPr>
              <w:t>Stage-18 integration/shim repair</w:t>
            </w:r>
          </w:p>
        </w:tc>
        <w:tc>
          <w:tcPr>
            <w:tcW w:type="dxa" w:w="2628"/>
            <w:vAlign w:val="top"/>
          </w:tcPr>
          <w:p>
            <w:r>
              <w:rPr>
                <w:sz w:val="14"/>
              </w:rPr>
              <w:t>integration</w:t>
            </w:r>
          </w:p>
        </w:tc>
        <w:tc>
          <w:tcPr>
            <w:tcW w:type="dxa" w:w="2628"/>
            <w:vAlign w:val="top"/>
          </w:tcPr>
          <w:p>
            <w:r>
              <w:rPr>
                <w:sz w:val="14"/>
              </w:rPr>
              <w:t>No scientific change</w:t>
            </w:r>
          </w:p>
        </w:tc>
      </w:tr>
      <w:tr>
        <w:tc>
          <w:tcPr>
            <w:tcW w:type="dxa" w:w="2628"/>
            <w:vAlign w:val="top"/>
          </w:tcPr>
          <w:p>
            <w:r>
              <w:rPr>
                <w:sz w:val="14"/>
              </w:rPr>
              <w:t>R54</w:t>
            </w:r>
          </w:p>
        </w:tc>
        <w:tc>
          <w:tcPr>
            <w:tcW w:type="dxa" w:w="2628"/>
            <w:vAlign w:val="top"/>
          </w:tcPr>
          <w:p>
            <w:r>
              <w:rPr>
                <w:sz w:val="14"/>
              </w:rPr>
              <w:t>Stage-26 secret-redaction/repackaging recovery</w:t>
            </w:r>
          </w:p>
        </w:tc>
        <w:tc>
          <w:tcPr>
            <w:tcW w:type="dxa" w:w="2628"/>
            <w:vAlign w:val="top"/>
          </w:tcPr>
          <w:p>
            <w:r>
              <w:rPr>
                <w:sz w:val="14"/>
              </w:rPr>
              <w:t>security/packaging</w:t>
            </w:r>
          </w:p>
        </w:tc>
        <w:tc>
          <w:tcPr>
            <w:tcW w:type="dxa" w:w="2628"/>
            <w:vAlign w:val="top"/>
          </w:tcPr>
          <w:p>
            <w:r>
              <w:rPr>
                <w:sz w:val="14"/>
              </w:rPr>
              <w:t>No scientific change</w:t>
            </w:r>
          </w:p>
        </w:tc>
      </w:tr>
    </w:tbl>
    <w:p>
      <w:r>
        <w:rPr>
          <w:b/>
          <w:color w:val="A94442"/>
        </w:rPr>
        <w:t>Deferred A4 effectiveness and rejected clinical/deployment effectiveness remain visible as negative governance state; neither is rendered as a positive result.</w:t>
      </w:r>
    </w:p>
    <w:p>
      <w:pPr>
        <w:pStyle w:val="Heading1"/>
      </w:pPr>
      <w:r>
        <w:t>12. Reproduction / P02 Handoff</w:t>
      </w:r>
    </w:p>
    <w:p>
      <w:r>
        <w:rPr>
          <w:b w:val="0"/>
        </w:rPr>
        <w:t>The package exposes claim-to-source routes, external retrieval instructions, source manifests and exact table/figure exports. The P02 handoff is technical readiness only: TECHNICAL INPUT READY ≠ P02 SCIENTIFIC RESULT.</w:t>
      </w:r>
    </w:p>
    <w:p>
      <w:pPr>
        <w:pStyle w:val="Heading1"/>
      </w:pPr>
      <w:r>
        <w:t>13. Final Validation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DDEBF7"/>
          </w:tcPr>
          <w:p>
            <w:r>
              <w:rPr>
                <w:sz w:val="16"/>
              </w:rPr>
              <w:t>Check</w:t>
            </w:r>
          </w:p>
        </w:tc>
        <w:tc>
          <w:tcPr>
            <w:tcW w:type="dxa" w:w="5256"/>
            <w:shd w:fill="DDEBF7"/>
          </w:tcPr>
          <w:p>
            <w:r>
              <w:rPr>
                <w:sz w:val="16"/>
              </w:rPr>
              <w:t>Result</w:t>
            </w:r>
          </w:p>
        </w:tc>
      </w:tr>
      <w:tr>
        <w:tc>
          <w:tcPr>
            <w:tcW w:type="dxa" w:w="5256"/>
            <w:vAlign w:val="top"/>
          </w:tcPr>
          <w:p>
            <w:r>
              <w:rPr>
                <w:sz w:val="16"/>
              </w:rPr>
              <w:t>P00 preservation</w:t>
            </w:r>
          </w:p>
        </w:tc>
        <w:tc>
          <w:tcPr>
            <w:tcW w:type="dxa" w:w="5256"/>
            <w:vAlign w:val="top"/>
          </w:tcPr>
          <w:p>
            <w:r>
              <w:rPr>
                <w:sz w:val="16"/>
              </w:rPr>
              <w:t>PASS</w:t>
            </w:r>
          </w:p>
        </w:tc>
      </w:tr>
      <w:tr>
        <w:tc>
          <w:tcPr>
            <w:tcW w:type="dxa" w:w="5256"/>
            <w:vAlign w:val="top"/>
          </w:tcPr>
          <w:p>
            <w:r>
              <w:rPr>
                <w:sz w:val="16"/>
              </w:rPr>
              <w:t>Evidence Map coverage</w:t>
            </w:r>
          </w:p>
        </w:tc>
        <w:tc>
          <w:tcPr>
            <w:tcW w:type="dxa" w:w="5256"/>
            <w:vAlign w:val="top"/>
          </w:tcPr>
          <w:p>
            <w:r>
              <w:rPr>
                <w:sz w:val="16"/>
              </w:rPr>
              <w:t>PASS</w:t>
            </w:r>
          </w:p>
        </w:tc>
      </w:tr>
      <w:tr>
        <w:tc>
          <w:tcPr>
            <w:tcW w:type="dxa" w:w="5256"/>
            <w:vAlign w:val="top"/>
          </w:tcPr>
          <w:p>
            <w:r>
              <w:rPr>
                <w:sz w:val="16"/>
              </w:rPr>
              <w:t>Reviewed wording parity</w:t>
            </w:r>
          </w:p>
        </w:tc>
        <w:tc>
          <w:tcPr>
            <w:tcW w:type="dxa" w:w="5256"/>
            <w:vAlign w:val="top"/>
          </w:tcPr>
          <w:p>
            <w:r>
              <w:rPr>
                <w:sz w:val="16"/>
              </w:rPr>
              <w:t>PASS</w:t>
            </w:r>
          </w:p>
        </w:tc>
      </w:tr>
      <w:tr>
        <w:tc>
          <w:tcPr>
            <w:tcW w:type="dxa" w:w="5256"/>
            <w:vAlign w:val="top"/>
          </w:tcPr>
          <w:p>
            <w:r>
              <w:rPr>
                <w:sz w:val="16"/>
              </w:rPr>
              <w:t>Source-value reproduction</w:t>
            </w:r>
          </w:p>
        </w:tc>
        <w:tc>
          <w:tcPr>
            <w:tcW w:type="dxa" w:w="5256"/>
            <w:vAlign w:val="top"/>
          </w:tcPr>
          <w:p>
            <w:r>
              <w:rPr>
                <w:sz w:val="16"/>
              </w:rPr>
              <w:t>PASS</w:t>
            </w:r>
          </w:p>
        </w:tc>
      </w:tr>
      <w:tr>
        <w:tc>
          <w:tcPr>
            <w:tcW w:type="dxa" w:w="5256"/>
            <w:vAlign w:val="top"/>
          </w:tcPr>
          <w:p>
            <w:r>
              <w:rPr>
                <w:sz w:val="16"/>
              </w:rPr>
              <w:t>Warning/limitation parity</w:t>
            </w:r>
          </w:p>
        </w:tc>
        <w:tc>
          <w:tcPr>
            <w:tcW w:type="dxa" w:w="5256"/>
            <w:vAlign w:val="top"/>
          </w:tcPr>
          <w:p>
            <w:r>
              <w:rPr>
                <w:sz w:val="16"/>
              </w:rPr>
              <w:t>PASS</w:t>
            </w:r>
          </w:p>
        </w:tc>
      </w:tr>
      <w:tr>
        <w:tc>
          <w:tcPr>
            <w:tcW w:type="dxa" w:w="5256"/>
            <w:vAlign w:val="top"/>
          </w:tcPr>
          <w:p>
            <w:r>
              <w:rPr>
                <w:sz w:val="16"/>
              </w:rPr>
              <w:t>Negative visibility</w:t>
            </w:r>
          </w:p>
        </w:tc>
        <w:tc>
          <w:tcPr>
            <w:tcW w:type="dxa" w:w="5256"/>
            <w:vAlign w:val="top"/>
          </w:tcPr>
          <w:p>
            <w:r>
              <w:rPr>
                <w:sz w:val="16"/>
              </w:rPr>
              <w:t>PASS</w:t>
            </w:r>
          </w:p>
        </w:tc>
      </w:tr>
      <w:tr>
        <w:tc>
          <w:tcPr>
            <w:tcW w:type="dxa" w:w="5256"/>
            <w:vAlign w:val="top"/>
          </w:tcPr>
          <w:p>
            <w:r>
              <w:rPr>
                <w:sz w:val="16"/>
              </w:rPr>
              <w:t>A0–A13/A14/A4 boundaries</w:t>
            </w:r>
          </w:p>
        </w:tc>
        <w:tc>
          <w:tcPr>
            <w:tcW w:type="dxa" w:w="5256"/>
            <w:vAlign w:val="top"/>
          </w:tcPr>
          <w:p>
            <w:r>
              <w:rPr>
                <w:sz w:val="16"/>
              </w:rPr>
              <w:t>PASS</w:t>
            </w:r>
          </w:p>
        </w:tc>
      </w:tr>
      <w:tr>
        <w:tc>
          <w:tcPr>
            <w:tcW w:type="dxa" w:w="5256"/>
            <w:vAlign w:val="top"/>
          </w:tcPr>
          <w:p>
            <w:r>
              <w:rPr>
                <w:sz w:val="16"/>
              </w:rPr>
              <w:t>Read-only audit</w:t>
            </w:r>
          </w:p>
        </w:tc>
        <w:tc>
          <w:tcPr>
            <w:tcW w:type="dxa" w:w="5256"/>
            <w:vAlign w:val="top"/>
          </w:tcPr>
          <w:p>
            <w:r>
              <w:rPr>
                <w:sz w:val="16"/>
              </w:rPr>
              <w:t>PASS</w:t>
            </w:r>
          </w:p>
        </w:tc>
      </w:tr>
      <w:tr>
        <w:tc>
          <w:tcPr>
            <w:tcW w:type="dxa" w:w="5256"/>
            <w:vAlign w:val="top"/>
          </w:tcPr>
          <w:p>
            <w:r>
              <w:rPr>
                <w:sz w:val="16"/>
              </w:rPr>
              <w:t>Execution bundle CRC/checksums</w:t>
            </w:r>
          </w:p>
        </w:tc>
        <w:tc>
          <w:tcPr>
            <w:tcW w:type="dxa" w:w="5256"/>
            <w:vAlign w:val="top"/>
          </w:tcPr>
          <w:p>
            <w:r>
              <w:rPr>
                <w:sz w:val="16"/>
              </w:rPr>
              <w:t>PASS</w:t>
            </w:r>
          </w:p>
        </w:tc>
      </w:tr>
      <w:tr>
        <w:tc>
          <w:tcPr>
            <w:tcW w:type="dxa" w:w="5256"/>
            <w:vAlign w:val="top"/>
          </w:tcPr>
          <w:p>
            <w:r>
              <w:rPr>
                <w:sz w:val="16"/>
              </w:rPr>
              <w:t>Secrets/placeholders</w:t>
            </w:r>
          </w:p>
        </w:tc>
        <w:tc>
          <w:tcPr>
            <w:tcW w:type="dxa" w:w="5256"/>
            <w:vAlign w:val="top"/>
          </w:tcPr>
          <w:p>
            <w:r>
              <w:rPr>
                <w:sz w:val="16"/>
              </w:rPr>
              <w:t>PASS</w:t>
            </w:r>
          </w:p>
        </w:tc>
      </w:tr>
      <w:tr>
        <w:tc>
          <w:tcPr>
            <w:tcW w:type="dxa" w:w="5256"/>
            <w:vAlign w:val="top"/>
          </w:tcPr>
          <w:p>
            <w:r>
              <w:rPr>
                <w:sz w:val="16"/>
              </w:rPr>
              <w:t>Freeze-critical blockers</w:t>
            </w:r>
          </w:p>
        </w:tc>
        <w:tc>
          <w:tcPr>
            <w:tcW w:type="dxa" w:w="5256"/>
            <w:vAlign w:val="top"/>
          </w:tcPr>
          <w:p>
            <w:r>
              <w:rPr>
                <w:sz w:val="16"/>
              </w:rPr>
              <w:t>0</w:t>
            </w:r>
          </w:p>
        </w:tc>
      </w:tr>
    </w:tbl>
    <w:p>
      <w:pPr>
        <w:jc w:val="center"/>
      </w:pPr>
      <w:r>
        <w:rPr>
          <w:b/>
          <w:color w:val="4A8C62"/>
        </w:rPr>
        <w:t>CUMULATIVE_LAYER10_THROUGH_P01: PASS — FINALIZED AND FROZEN</w:t>
      </w:r>
    </w:p>
    <w:p>
      <w:pPr>
        <w:jc w:val="center"/>
      </w:pPr>
      <w:r>
        <w:rPr>
          <w:b/>
        </w:rPr>
        <w:t>NEXT GOVERNED STEP: FINAL PHASE-1 WHOLE-STACK SYNCHRONIZATION, CUMULATIVE PROJECT-STATE UPDATE, HANDOFF, AND FORMAL PHASE-1 CLOSURE / PHASE-2 AUTHORIZATION REVIEW.</w:t>
      </w:r>
    </w:p>
    <w:p>
      <w:pPr>
        <w:pStyle w:val="Heading1"/>
      </w:pPr>
      <w:r>
        <w:t>14. Thesis-Defense / Limitation / Provenance Views</w:t>
      </w:r>
    </w:p>
    <w:p>
      <w:r>
        <w:rPr>
          <w:b/>
        </w:rPr>
        <w:t xml:space="preserve">Thesis-defense summary. </w:t>
      </w:r>
      <w:r>
        <w:t>By the end of P01, the project had established a governed public-EEG data/split/preprocessing/window/persistence foundation with 12,910 valid core windows, exact subject-group split identity, quality/accounting closure, A0–A13 foundation readiness, A4 R2 substrate readiness, accepted execution closure, and a technically ready P01→P02 handoff. It had not established A4 superiority, clinical effectiveness, deployment safety, or A14.</w:t>
      </w:r>
    </w:p>
    <w:p>
      <w:pPr>
        <w:pStyle w:val="Heading2"/>
      </w:pPr>
      <w:r>
        <w:t>Major limitation cards</w:t>
      </w:r>
    </w:p>
    <w:p>
      <w:r>
        <w:rPr>
          <w:b/>
          <w:color w:val="B37A00"/>
        </w:rPr>
        <w:t xml:space="preserve">PUBLIC_EEG_ONLY / NON_CLINICAL / NO_DEPLOYMENT_CLAIM: </w:t>
      </w:r>
      <w:r>
        <w:t>P01 is a public-data foundation; clinical and deployment effectiveness are outside the evidence ceiling.</w:t>
      </w:r>
    </w:p>
    <w:p>
      <w:r>
        <w:rPr>
          <w:b/>
          <w:color w:val="B37A00"/>
        </w:rPr>
        <w:t xml:space="preserve">IMPLEMENTED_CHECKS_ONLY: </w:t>
      </w:r>
      <w:r>
        <w:t>Split/leakage statements remain bounded to the implemented registered checks.</w:t>
      </w:r>
    </w:p>
    <w:p>
      <w:r>
        <w:rPr>
          <w:b/>
          <w:color w:val="B37A00"/>
        </w:rPr>
        <w:t xml:space="preserve">SOFT_FLAG_NOT_EQUIVALENT_TO_CORRUPTION: </w:t>
      </w:r>
      <w:r>
        <w:t>20 soft/provider flags are not equivalent to corrupt recordings; 0 hard-invalid summaries is not artifact-free EEG.</w:t>
      </w:r>
    </w:p>
    <w:p>
      <w:r>
        <w:rPr>
          <w:b/>
          <w:color w:val="B37A00"/>
        </w:rPr>
        <w:t xml:space="preserve">A4_EFFECTIVENESS_NOT_EXECUTED: </w:t>
      </w:r>
      <w:r>
        <w:t>A4 R2 is a matched data substrate; no P01 decoder-effectiveness comparison exists.</w:t>
      </w:r>
    </w:p>
    <w:p>
      <w:r>
        <w:rPr>
          <w:b/>
          <w:color w:val="B37A00"/>
        </w:rPr>
        <w:t xml:space="preserve">PRIVATE_KAGGLE_EXTERNAL_ARTIFACT_ACCESS: </w:t>
      </w:r>
      <w:r>
        <w:t>Core/A4 numerical bytes require governed private access and source-license compliance.</w:t>
      </w:r>
    </w:p>
    <w:p>
      <w:pPr>
        <w:pStyle w:val="Heading2"/>
      </w:pPr>
      <w:r>
        <w:t>Representative provenance chains</w:t>
      </w:r>
    </w:p>
    <w:p>
      <w:r>
        <w:t>P01-CLM-003/v1 → P01-FIND-003 → P01-AC-003-DENOMINATOR → P01 stages 07–15 → WindowRecords / derived_windows_dataset.json</w:t>
      </w:r>
    </w:p>
    <w:p>
      <w:r>
        <w:t>P01-CLM-007/v1 → P01-FIND-009 / P01-FIND-010 → P01-AC-008-A4 → A4 Stage 14/15 + R49 lineage → a4_window_family_dataset.json / R2 freeze</w:t>
      </w:r>
    </w:p>
    <w:p>
      <w:r>
        <w:t>P01-CLM-008/v1 → P01-FIND-012 → P01-AC-010-GATES-REPAIRS → stages 00–26 → stage_results.json / gate_decision.json / checksums.sha256</w:t>
      </w:r>
    </w:p>
    <w:p>
      <w:pPr>
        <w:jc w:val="center"/>
      </w:pPr>
      <w:r>
        <w:rPr>
          <w:b/>
          <w:color w:val="4A8C62"/>
        </w:rPr>
        <w:t>CUMULATIVE_LAYER10_THROUGH_P01: PASS — FINALIZED AND FROZEN</w:t>
      </w:r>
    </w:p>
    <w:p>
      <w:pPr>
        <w:jc w:val="center"/>
      </w:pPr>
      <w:r>
        <w:rPr>
          <w:b/>
        </w:rPr>
        <w:t>NEXT: FINAL PHASE-1 WHOLE-STACK SYNCHRONIZATION, CUMULATIVE PROJECT-STATE UPDATE, HANDOFF, AND FORMAL PHASE-1 CLOSURE / PHASE-2 AUTHORIZATION REVIEW.</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Read-only governed presentation derivative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IHARQ BenchGuard Stretch C | Cumulative Layer 10 Through P01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85C8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7F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