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Decizii structurale comune — toate capitolele</w:t>
      </w:r>
    </w:p>
    <w:p>
      <w:r>
        <w:rPr>
          <w:i/>
        </w:rPr>
        <w:t>Decizii organizatorice comune tuturor capitolelor. Doar de citit.</w:t>
      </w:r>
    </w:p>
    <w:p>
      <w:pPr>
        <w:pStyle w:val="Heading2"/>
      </w:pPr>
      <w:r>
        <w:rPr>
          <w:color w:val="1C5D8C"/>
        </w:rPr>
        <w:t>Radiologie intervențională — capitol unic pentru proceduri</w:t>
      </w:r>
    </w:p>
    <w:p>
      <w:r>
        <w:t>Tot ce e intervențional (biopsii, embolizări, drenaje, angiografii terapeutice) e consolidat în capitolul „Radiologie intervențională”, pe aparate/sisteme.</w:t>
      </w:r>
    </w:p>
    <w:p>
      <w:pPr>
        <w:pStyle w:val="Heading2"/>
      </w:pPr>
      <w:r>
        <w:rPr>
          <w:color w:val="1C5D8C"/>
        </w:rPr>
        <w:t>Excepție — senologie</w:t>
      </w:r>
    </w:p>
    <w:p>
      <w:r>
        <w:t>Intervenționalul mamar (biopsie percutanată, biopsie ganglionară axilară, localizare preoperatorie, drenaj de abces) rămâne în capitolul „Sân”.</w:t>
      </w:r>
    </w:p>
    <w:p>
      <w:pPr>
        <w:pStyle w:val="Heading2"/>
      </w:pPr>
      <w:r>
        <w:rPr>
          <w:color w:val="1C5D8C"/>
        </w:rPr>
        <w:t>Excepție — ERCP</w:t>
      </w:r>
    </w:p>
    <w:p>
      <w:r>
        <w:t>ERCP rămâne în capitolul de origine, marcat „Terapeutic = Da”.</w:t>
      </w:r>
    </w:p>
    <w:p>
      <w:pPr>
        <w:pStyle w:val="Heading2"/>
      </w:pPr>
      <w:r>
        <w:rPr>
          <w:color w:val="1C5D8C"/>
        </w:rPr>
        <w:t>Cancerul de sân rămâne în „Sân”</w:t>
      </w:r>
    </w:p>
    <w:p>
      <w:r>
        <w:t>Nu e mutat la capitolul „Cancer” — rămâne în „Sân”, subcapitolul „Cancer de sân”.</w:t>
      </w:r>
    </w:p>
    <w:p>
      <w:pPr>
        <w:pStyle w:val="Heading2"/>
      </w:pPr>
      <w:r>
        <w:rPr>
          <w:color w:val="1C5D8C"/>
        </w:rPr>
        <w:t>Coloană nouă „Terapeutic” (Da/Nu)</w:t>
      </w:r>
    </w:p>
    <w:p>
      <w:r>
        <w:t>Da = rol terapeutic, chiar dacă e și diagnostic (ex. embolizare, ablație, drenaj = Da; biopsie, angiografie diagnostică = Nu).</w:t>
      </w:r>
    </w:p>
    <w:p>
      <w:pPr>
        <w:pStyle w:val="Heading2"/>
      </w:pPr>
      <w:r>
        <w:rPr>
          <w:color w:val="1C5D8C"/>
        </w:rPr>
        <w:t>NR.CRT nu are semnificație clinică</w:t>
      </w:r>
    </w:p>
    <w:p>
      <w:r>
        <w:t>Identificator secvențial de rând, renumerotat pe parcursul revizuirii. Referiți-vă la rânduri prin „Capitol + Situație clinică”, nu prin număr.</w:t>
      </w:r>
    </w:p>
    <w:p>
      <w:pPr>
        <w:pStyle w:val="Heading2"/>
      </w:pPr>
      <w:r>
        <w:rPr>
          <w:color w:val="1C5D8C"/>
        </w:rPr>
        <w:t>Un rând = un singur „acasă”</w:t>
      </w:r>
    </w:p>
    <w:p>
      <w:r>
        <w:t>Fiecare situație clinică apare într-un singur capitol/subcapitol; fără trimiteri încrucișate de tipul „vezi și capitolul X”.</w:t>
      </w:r>
    </w:p>
    <w:p>
      <w:pPr>
        <w:pStyle w:val="Heading2"/>
      </w:pPr>
      <w:r>
        <w:rPr>
          <w:color w:val="1C5D8C"/>
        </w:rPr>
        <w:t>Ordinea examenelor și a situațiilor clinice</w:t>
      </w:r>
    </w:p>
    <w:p>
      <w:r>
        <w:t>Ordinea investigațiilor într-o situație e intenționată, neschimbată. Situațiile clinice sunt ordonate după flux clinic (acut → cronic → screening), nu alfabetic.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