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Decizii structurale comune — toate capitolele</w:t>
      </w:r>
    </w:p>
    <w:p>
      <w:r>
        <w:rPr>
          <w:i/>
        </w:rPr>
        <w:t>Acest memo însoțește pachetele de review pe capitol. Conține doar deciziile structurale/organizatorice care traversează capitolele — nu conținut clinic specific. Doar de citit, nu necesită completare.</w:t>
      </w:r>
    </w:p>
    <w:p>
      <w:pPr>
        <w:pStyle w:val="Heading2"/>
      </w:pPr>
      <w:r>
        <w:rPr>
          <w:color w:val="1C5D8C"/>
        </w:rPr>
        <w:t>Radiologie intervențională — un singur capitol pentru proceduri</w:t>
      </w:r>
    </w:p>
    <w:p>
      <w:r>
        <w:t>Tot ce e intervențional (biopsii, embolizări, drenaje, angiografii terapeutice) a fost adunat într-un singur capitol nou, „Radiologie intervențională”, organizat pe aparate/sisteme. Nu mai apare împrăștiat prin capitolele diagnostice.</w:t>
      </w:r>
    </w:p>
    <w:p>
      <w:pPr>
        <w:pStyle w:val="Heading2"/>
      </w:pPr>
      <w:r>
        <w:rPr>
          <w:color w:val="1C5D8C"/>
        </w:rPr>
        <w:t>Excepție — senologie</w:t>
      </w:r>
    </w:p>
    <w:p>
      <w:r>
        <w:t>Intervenționalul mamar (biopsie percutanată, biopsie ganglionară axilară, localizare preoperatorie, drenaj de abces) rămâne în capitolul „Sân”, lângă restul workup-ului senologic — nu s-a mutat la Radiologie intervențională. Senologia e tratată ca specialitate proprie.</w:t>
      </w:r>
    </w:p>
    <w:p>
      <w:pPr>
        <w:pStyle w:val="Heading2"/>
      </w:pPr>
      <w:r>
        <w:rPr>
          <w:color w:val="1C5D8C"/>
        </w:rPr>
        <w:t>Excepție — ERCP</w:t>
      </w:r>
    </w:p>
    <w:p>
      <w:r>
        <w:t>ERCP rămâne în capitolul de origine (nu la Radiologie intervențională), deși are și rol terapeutic (sfincterotomie, extragere de calculi, stentare) — marcat „Terapeutic = Da”.</w:t>
      </w:r>
    </w:p>
    <w:p>
      <w:pPr>
        <w:pStyle w:val="Heading2"/>
      </w:pPr>
      <w:r>
        <w:rPr>
          <w:color w:val="1C5D8C"/>
        </w:rPr>
        <w:t>Cancerul de sân rămâne în „Sân”</w:t>
      </w:r>
    </w:p>
    <w:p>
      <w:r>
        <w:t>Deși e determinat de malignitate, cancerul de sân (diagnostic, stadializare, urmărire) nu a fost mutat la capitolul „Cancer” — rămâne în „Sân”, subcapitolul „Cancer de sân”, analog excepției ERCP.</w:t>
      </w:r>
    </w:p>
    <w:p>
      <w:pPr>
        <w:pStyle w:val="Heading2"/>
      </w:pPr>
      <w:r>
        <w:rPr>
          <w:color w:val="1C5D8C"/>
        </w:rPr>
        <w:t>Coloană nouă „Terapeutic” (Da/Nu)</w:t>
      </w:r>
    </w:p>
    <w:p>
      <w:r>
        <w:t>Marchează dacă o investigație/procedură are și rol terapeutic, chiar dacă e și diagnostică (ex. embolizare, ablație, drenaj = Da; biopsie, angiografie diagnostică = Nu). Gol doar la rândurile-placeholder.</w:t>
      </w:r>
    </w:p>
    <w:p>
      <w:pPr>
        <w:pStyle w:val="Heading2"/>
      </w:pPr>
      <w:r>
        <w:rPr>
          <w:color w:val="1C5D8C"/>
        </w:rPr>
        <w:t>Numerotarea rândurilor (NR.CRT) nu are semnificație clinică</w:t>
      </w:r>
    </w:p>
    <w:p>
      <w:r>
        <w:t>E doar un identificator secvențial de rând; a fost renumerotat de mai multe ori în timpul revizuirii și poate diferi de numerele din ediția pe care o cunoașteți. Vă rugăm să vă referiți la rânduri prin „Capitol + Situație clinică”, nu prin numărul curent.</w:t>
      </w:r>
    </w:p>
    <w:p>
      <w:pPr>
        <w:pStyle w:val="Heading2"/>
      </w:pPr>
      <w:r>
        <w:rPr>
          <w:color w:val="1C5D8C"/>
        </w:rPr>
        <w:t>Un rând = un singur „acasă” (fără trimiteri încrucișate)</w:t>
      </w:r>
    </w:p>
    <w:p>
      <w:r>
        <w:t>Fiecare situație clinică apare într-un singur capitol/subcapitol, ales după o ierarhie fixă (context special — pediatric, traumă, oncologic, intervențional — înaintea anatomiei). Nu mai există trimiteri de tipul „vezi și capitolul X” în date.</w:t>
      </w:r>
    </w:p>
    <w:p>
      <w:pPr>
        <w:pStyle w:val="Heading2"/>
      </w:pPr>
      <w:r>
        <w:rPr>
          <w:color w:val="1C5D8C"/>
        </w:rPr>
        <w:t>Ordinea examenelor și a situațiilor clinice</w:t>
      </w:r>
    </w:p>
    <w:p>
      <w:r>
        <w:t>Ordinea investigațiilor în cadrul unei situații clinice este intenționată (reflectă prioritatea clinică) și nu a fost reordonată. Situațiile clinice din cadrul unui subcapitol au fost, unde a fost cazul, reordonate după fluxul clinic (urgență/acut → cronic → screening), nu alfabetic.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