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Torace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Neoplasmul bronhopulmonar a fost mutat la Cancer › Cancer bronho-pulmonar (fuzionat); Nodulul pulmonar solitar rămâne diagnostic în Torace.</w:t>
      </w:r>
    </w:p>
    <w:p>
      <w:pPr>
        <w:pStyle w:val="ListBullet"/>
      </w:pPr>
      <w:r>
        <w:t>Conflictele de grad la mutare au fost rezolvate în favoarea gradului din Cancer (fără schimbare de grad Cancer); referințele au fost adăugate în Alte informații.</w:t>
      </w:r>
    </w:p>
    <w:p>
      <w:pPr>
        <w:pStyle w:val="ListBullet"/>
      </w:pPr>
      <w:r>
        <w:t>Scintigrafia osoasă (stadializare bronho-pulmonară) coborâtă la „Doar în cazuri particulare” — PET-CT a preluat rolul principal pentru metastaze osoase.</w:t>
      </w:r>
    </w:p>
    <w:p>
      <w:pPr>
        <w:pStyle w:val="ListBullet"/>
      </w:pPr>
      <w:r>
        <w:t>Etichetele „Nodul pulmonar” unificate la „Nodul pulmonar solitar” (CT reordonat înaintea PET-CT).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Empiem / pleurezie parapneumonică — situație proprie sau notă în „Epanșament pleural”?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Azi parțial acoperit sub „Epanșament pleural”.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 (subcapitol Pleură)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Notă în situația existentă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Bronșiectazii — se separă de „Bronhoree cronică” sau rămân acoperite acolo?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„Bronhoree cronică” menționează deja „dilatații bronșice”.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sub „Bronhoree cronică”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Dispnee acută — se suprapune cu situațiile deja existente (embolie, pneumonie)?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De verificat suprapunerea înainte de inserare.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Situație proprie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Nu se adaugă (acoperire suficientă)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Pulmon — Screening cancer pulmonar (CT low-dose la persoane cu risc)</w:t>
      </w:r>
    </w:p>
    <w:p>
      <w:r>
        <w:rPr>
          <w:i/>
          <w:color w:val="555555"/>
        </w:rPr>
        <w:t>Cf. ACR Appropriateness Criteria – Lung Cancer Screening (2022); USPSTF 2021.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torace fără substanță de contrast, doză redusă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Screening anual, 50–80 ani, ≥20 pachete-an, fumători activi sau opriți de &lt;15 ani.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Neindicat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Insensibilă ca test de screening — NU înlocuiește LDCT.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Mediastin (subcapitol nou) — Masă / lărgire mediastinală</w:t>
      </w:r>
    </w:p>
    <w:p>
      <w:r>
        <w:rPr>
          <w:i/>
          <w:color w:val="555555"/>
        </w:rPr>
        <w:t>Cf. ACR Appropriateness Criteria – Imaging of Mediastinal Masses (2021).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torace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linie: localizare, caracterizare, raporturi vasculare.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Adesea descoperire incidentală inițială.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IRM torace/mediastin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Caracterizare tisulară (chistic vs solid), invazie; intoleranță la contrast iodat.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N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PET-CT (F18-FDG)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cu aviz specializat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Suspiciune de malignitate / limfom.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Pulmon — Dispnee acută / insuficiență respiratorie acută</w:t>
      </w:r>
    </w:p>
    <w:p>
      <w:r>
        <w:rPr>
          <w:i/>
          <w:color w:val="555555"/>
        </w:rPr>
        <w:t>Cf. ACR Appropriateness Criteria – Acute Respiratory Illness / Dyspnea.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linie.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torace ± angio-CT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neconcludentă, suspiciune de embolie/patologie parenchimatoasă.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toracică (pulmonară + cardiacă)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La patul bolnavului.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Pulmon — Tuberculoză pulmonară activă (suspiciune / diagnostic)</w:t>
      </w:r>
    </w:p>
    <w:p>
      <w:r>
        <w:rPr>
          <w:i/>
          <w:color w:val="555555"/>
        </w:rPr>
        <w:t>Cf. RCR iRefer; ACR Appropriateness Criteria.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Primă linie: infiltrate, cavitații, adenopatii.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torace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echivocă, forme complicate/miliare, evaluarea activității.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Pleură — Empiem / pleurezie parapneumonică</w:t>
      </w:r>
    </w:p>
    <w:p>
      <w:r>
        <w:rPr>
          <w:i/>
          <w:color w:val="555555"/>
        </w:rPr>
        <w:t>Cf. ACR Appropriateness Criteria (patologie pleurală).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Cloazonări, ghidajul drenajului.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torace cu substanță de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Colecție organizată, „split pleura sign”, ghidajul drenajului.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3"/>
      </w:pPr>
      <w:r>
        <w:t>Pulmon — Bronșiectazii</w:t>
      </w:r>
    </w:p>
    <w:p>
      <w:r>
        <w:rPr>
          <w:i/>
          <w:color w:val="555555"/>
        </w:rPr>
        <w:t>Cf. RCR iRefer; ACR Appropriateness Criteria.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T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CT de înaltă rezoluție (HRCT), fără contrast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Indicat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Examen de referință.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G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Radiografie toracică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Insensibilă.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Torace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Torace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