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Gât (părți moi)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Terminologie unificată: „Hiperparatiroidism” (formă standard); „Hipertiroidie”/„Hipotiroidie” rămân neschimbate deocamdată.</w:t>
      </w:r>
    </w:p>
    <w:p>
      <w:pPr>
        <w:pStyle w:val="ListBullet"/>
      </w:pPr>
      <w:r>
        <w:t>„Suflu carotidian asimptomatic” mutat la Aparat cardiovascular › Sistem vascular (topic vascular, nu de gât).</w:t>
      </w:r>
    </w:p>
    <w:p>
      <w:pPr>
        <w:pStyle w:val="ListBullet"/>
      </w:pPr>
      <w:r>
        <w:t>12 rânduri mutate din Cap › ORL la Gât (părți moi): glande salivare (subcapitol nou), mase cervicale ale adultului (comasate cu „Masă cervicală cu punct de plecare necunoscut” — subcapitol redenumit „Mase cervicale”).</w:t>
      </w:r>
    </w:p>
    <w:p>
      <w:pPr>
        <w:pStyle w:val="ListBullet"/>
      </w:pPr>
      <w:r>
        <w:t>Adăugate: stratificare ecografică TI-RADS/EU-TIRADS a nodulului tiroidian, abces/infecție profundă de spații cervicale, completare de comentariu pentru sialadenita acută fără litiază.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„Corp străin faringian sau esofagian înalt” — cvasi-duplicat cu Traumatisme › Corp străin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Text aproape identic, 2 examene comune (radiografie + CT); Traumatisme are un al treilea rând (examen clinic ORL de primă intenție).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Unificare la Gât (părți moi)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Unificare la Traumatisme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Păstrare distinctă, cu etichete clarificate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rPr>
          <w:i/>
          <w:color w:val="555555"/>
        </w:rPr>
        <w:t>Nicio propunere nouă în acest capitol.</w:t>
      </w:r>
    </w:p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Gât (părți moi)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Gât (părți moi)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