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Aparat locomotor — pachet de review</w:t>
      </w:r>
    </w:p>
    <w:p>
      <w:pPr>
        <w:spacing w:after="40"/>
      </w:pPr>
      <w:r>
        <w:rPr>
          <w:b/>
          <w:color w:val="555555"/>
          <w:sz w:val="21"/>
        </w:rPr>
        <w:t>Revizia ghidului de indicații radioimagistice aprobat în 2021 · document de lucru pentru editorul de capitol</w:t>
      </w:r>
    </w:p>
    <w:p>
      <w:pPr>
        <w:spacing w:before="40" w:after="200"/>
        <w:pBdr>
          <w:bottom w:val="single" w:sz="6" w:space="1" w:color="1C5D8C"/>
        </w:pBdr>
      </w:pPr>
    </w:p>
    <w:p>
      <w:r>
        <w:t>Documentul cuprinde, pentru capitolul dumneavoastră: modificările deja aplicate (informativ), problemele rămase de decis, propunerile de conținut nou și duplicatele de rezolvat. Conținutul actual al capitolului nu este reprodus aici — vine din fișierele GHID.csv și GHID.html, atașate.</w:t>
      </w:r>
    </w:p>
    <w:p>
      <w:r>
        <w:t>Vă rugăm să completați coloanele „Decizie” (Aprobat / Respins / Amânat) și „Comentariu” direct în tabele, fără să le modificați structura. Acolo unde o problemă are variante enumerate, este suficient să indicați varianta aleasă.</w:t>
      </w:r>
    </w:p>
    <w:p>
      <w:r>
        <w:rPr>
          <w:i/>
          <w:color w:val="555555"/>
        </w:rPr>
        <w:t>Atașate: GHID.csv și GHID.html — conținutul integral al ghidului — și memoul „Decizii structurale comune”, de citit înaintea acestui pachet.</w:t>
      </w:r>
    </w:p>
    <w:p>
      <w:pPr>
        <w:pStyle w:val="Heading2"/>
      </w:pPr>
      <w:r>
        <w:t>1. Modificări deja aplicate (informativ)</w:t>
      </w:r>
    </w:p>
    <w:p>
      <w:r>
        <w:t>Nu necesită decizie; sunt listate pentru ca revizuirea capitolului să pornească de la starea curentă.</w:t>
      </w:r>
    </w:p>
    <w:p>
      <w:pPr>
        <w:pStyle w:val="ListBullet"/>
      </w:pPr>
      <w:r>
        <w:t>„Fasceita plantară” mutată la subcapitolul „Picior” (din „Diverse”).</w:t>
      </w:r>
    </w:p>
    <w:p>
      <w:pPr>
        <w:pStyle w:val="ListBullet"/>
      </w:pPr>
      <w:r>
        <w:t>„Patologia umărului” comasată cu „Umăr dureros” (artrografia adusă la „Doar cu aviz specializat”/B, consecvent cu restul subcapitolului).</w:t>
      </w:r>
    </w:p>
    <w:p>
      <w:pPr>
        <w:pStyle w:val="Heading2"/>
      </w:pPr>
      <w:r>
        <w:t>2. Probleme de decis</w:t>
      </w:r>
    </w:p>
    <w:tbl>
      <w:tblPr>
        <w:tblStyle w:val="TableGrid"/>
        <w:tblW w:type="dxa" w:w="15100"/>
        <w:tblLayout w:type="fixed"/>
        <w:tblLook w:firstColumn="1" w:firstRow="1" w:lastColumn="0" w:lastRow="0" w:noHBand="0" w:noVBand="1" w:val="04A0"/>
      </w:tblPr>
      <w:tblGrid>
        <w:gridCol w:w="8500"/>
        <w:gridCol w:w="3000"/>
        <w:gridCol w:w="3600"/>
      </w:tblGrid>
      <w:tr>
        <w:trPr>
          <w:tblHeader w:val="true"/>
        </w:trPr>
        <w:tc>
          <w:tcPr>
            <w:tcW w:type="dxa" w:w="85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Problemă</w:t>
            </w:r>
          </w:p>
        </w:tc>
        <w:tc>
          <w:tcPr>
            <w:tcW w:type="dxa" w:w="30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6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</w:t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„Nevralgie cervico-brahială” (subcapitol Umăr) — rămâne acolo sau se mută la Coloană cervicală?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Toate examenele vizează coloana cervicală (radiculopatie), nu umărul; motivul actual e diagnosticul diferențial al umărului dureros. Coloană vertebrală › Coloană cervicală are deja o situație omonimă.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Rămâne la Umăr (fațetă de diagnostic diferențial)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mută la Coloană vertebrală › Coloană cervicală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Osteomielita piciorului diabetic — situație separată de „Osteomielită – suspiciune”?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ACR o tratează ca scenariu distinct (complicații particulare).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Situație proprie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Rămâne acoperită generic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Topicuri opționale — de adăugat dacă se dorește acoperire exhaustivă?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Sindrom dureros de trohanter mare / bursită trohanteriană (Șold); boala Paget osoasă (Diverse); artropatie microcristalină / gută cu DECT (extindere a „Artropatie inflamatorie”).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adaugă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Nu se adaugă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2"/>
      </w:pPr>
      <w:r>
        <w:t>3. Propuneri de conținut nou</w:t>
      </w:r>
    </w:p>
    <w:p>
      <w:r>
        <w:t>Gradele și dozele sunt orientative — necesită validare. Fiecare rând, separat, se aprobă, se respinge sau se amână.</w:t>
      </w:r>
    </w:p>
    <w:p>
      <w:pPr>
        <w:pStyle w:val="Heading3"/>
      </w:pPr>
      <w:r>
        <w:t>Pumn și mână (subcapitol nou) — Durere cronică de pumn / mână</w:t>
      </w:r>
    </w:p>
    <w:p>
      <w:r>
        <w:rPr>
          <w:i/>
          <w:color w:val="555555"/>
        </w:rPr>
        <w:t>Cf. ACR Appropriateness Criteria – Chronic Wrist Pain.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intenție: artroză, condrocalcinoză, aliniament, sechele.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Leziuni TFCC, ligament scafo-lunar, necroză (Kienböck/scafoid), sinovită.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Tenosinovite, ganglioni, sindrom de tunel carpian.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Pseudartroză de scafoid, aliniament osos, corpi liberi.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Cot (subcapitol nou) — Durere cronică de cot / epicondilită</w:t>
      </w:r>
    </w:p>
    <w:p>
      <w:r>
        <w:rPr>
          <w:i/>
          <w:color w:val="555555"/>
        </w:rPr>
        <w:t>Cf. ACR Appropriateness Criteria – Chronic Elbow Pain.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intenție: artroză, corpi liberi, osteocondrită disecantă.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Epicondilită, patologie tendinoasă, colecții, nerv ulnar.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Tendinopatii, leziuni ligamentare/osteocondrale, neuropatie ulnară.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Gleznă (subcapitol nou) — Durere cronică de gleznă / instabilitate</w:t>
      </w:r>
    </w:p>
    <w:p>
      <w:r>
        <w:rPr>
          <w:i/>
          <w:color w:val="555555"/>
        </w:rPr>
        <w:t>Cf. ACR Appropriateness Criteria – Chronic Ankle Pain.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 (cu încărcare)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intenție: artroză, aliniament, sechele post-traumatice.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Leziuni osteocondrale, tendinoase, ligamentare, impingement.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Patologie tendinoasă, sinovită, ghidaj infiltrații.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1–2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Coaliție tarsală, leziuni osoase/osteocondrale, aliniament.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Diverse — Osteoporoză — evaluarea densității minerale osoase (DXA)</w:t>
      </w:r>
    </w:p>
    <w:p>
      <w:r>
        <w:rPr>
          <w:i/>
          <w:color w:val="555555"/>
        </w:rPr>
        <w:t>Clinician's guide BHOF/NOF; ISCD.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Osteodensitometrie (DXA coloană + șold)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Diagnostic (T-scor ≤ −2,5) și estimarea riscului de fractură; monitorizare la 1–2 ani.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 coloană toraco-lombară (morfometrie / VFA)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Detectarea fracturilor vertebrale de fragilitate.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(QCT)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Cazuri selectate; iradiere mai mare decât DXA.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Diverse — Sindrom dureros post-protezare — completare (fără IRM azi)</w:t>
      </w:r>
    </w:p>
    <w:p>
      <w:r>
        <w:rPr>
          <w:i/>
          <w:color w:val="555555"/>
        </w:rPr>
        <w:t>Cf. ACR Appropriateness Criteria – Imaging After Total Hip/Knee Arthroplasty (2023).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(cu reducerea artefactelor metalice)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Osteoliză/mobilizare periprotetică, reacție adversă la debriuri metalice, infecție. Secvențe MARS/MAVRIC.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Șold — Necroza aseptică de cap femural — completare (fără CT azi)</w:t>
      </w:r>
    </w:p>
    <w:p>
      <w:r>
        <w:rPr>
          <w:i/>
          <w:color w:val="555555"/>
        </w:rPr>
        <w:t>Cf. ACR Appropriateness Criteria – Osteonecrosis.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Alternativă la IRM contraindicat; evaluarea fracturii subcondrale / colapsului capului femural.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Diverse — Artrită septică</w:t>
      </w:r>
    </w:p>
    <w:p>
      <w:r>
        <w:rPr>
          <w:i/>
          <w:color w:val="555555"/>
        </w:rPr>
        <w:t>Cf. ACR Appropriateness Criteria – Suspected Osteomyelitis, Septic Arthritis, or Soft Tissue Infection.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Epanșament articular, ghidajul puncției articulare (cheia diagnosticului).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Extensie osoasă / de părți moi, osteomielită asociată.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Inițial adesea normală; exclude alte cauze.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Diverse — Fractură de stres / insuficiență (suprasolicitare, non-traumatică)</w:t>
      </w:r>
    </w:p>
    <w:p>
      <w:r>
        <w:rPr>
          <w:i/>
          <w:color w:val="555555"/>
        </w:rPr>
        <w:t>Cf. ACR Appropriateness Criteria – Stress (fatigue/insufficiency) Fracture.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Adesea normală precoce.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Cea mai sensibilă (edem osos precoce).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Scintigrafie osoasă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Alternativă când IRM nu e disponibil.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Picior — Durere cronică de picior (nevrom Morton, metatarsalgie, disfuncție de tendon tibial posterior)</w:t>
      </w:r>
    </w:p>
    <w:p>
      <w:r>
        <w:rPr>
          <w:i/>
          <w:color w:val="555555"/>
        </w:rPr>
        <w:t>Cf. ACR Appropriateness Criteria – Chronic Foot Pain.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Nevrom Morton, tendinopatii, ghidaj infiltrații.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Nevrom, disfuncție de tendon tibial posterior, leziuni osteocondrale.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Duplicate de rezolvat</w:t>
      </w:r>
    </w:p>
    <w:p>
      <w:r>
        <w:rPr>
          <w:i/>
          <w:color w:val="555555"/>
        </w:rPr>
        <w:t>Niciun duplicat deschis pentru acest capitol.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5138" w:val="right"/>
      </w:tabs>
    </w:pPr>
    <w:r>
      <w:rPr>
        <w:color w:val="555555"/>
        <w:sz w:val="18"/>
      </w:rPr>
      <w:t>Aparat locomotor — pachet de review</w:t>
      <w:tab/>
    </w:r>
    <w:r>
      <w:rPr>
        <w:color w:val="555555"/>
        <w:sz w:val="18"/>
      </w:rPr>
      <w:t xml:space="preserve">Pagina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din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C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Pachet de review — Aparat locomotor</dc:title>
  <dc:subject>Revizia ghidului de indicații radioimagistice</dc:subject>
  <dc:creator>python-docx</dc:creator>
  <cp:keywords/>
  <dc:description>Artefact generat de tools/generate_editor_docx.py</dc:description>
  <cp:lastModifiedBy/>
  <cp:revision>1</cp:revision>
  <dcterms:created xsi:type="dcterms:W3CDTF">2013-12-23T23:15:00Z</dcterms:created>
  <dcterms:modified xsi:type="dcterms:W3CDTF">2013-12-23T23:15:00Z</dcterms:modified>
  <cp:category>Pachet de capitol pentru editori</cp:category>
</cp:coreProperties>
</file>