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Pediatrie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Traumatisme (subcapitol nou): cranio-cerebral, maltratare (NAI), abdominal minor/major, coloană cervicală, torace, membru, politraumatism.</w:t>
      </w:r>
    </w:p>
    <w:p>
      <w:pPr>
        <w:pStyle w:val="ListBullet"/>
      </w:pPr>
      <w:r>
        <w:t>Oncologie (subcapitol nou): tumori cerebrale/medulare, retinoblastom, neuroblastom, limfom, tumori osoase, rabdomiosarcom, histiocitoză Langerhans. „Masă abdominală palpabilă” mutată aici.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Ecografie la „Masă abdominală sau pelvină palpabilă” — grad B, posibil inconsecvent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Grad B; ecografia e cotată A în situații similare.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Păstrare grad B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Ridicare la grad A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Cistosonografie micțională (RVU) — Tip X, dar e tehnică ecografică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Tehnică ecografică, neiradiantă, codificată Tip X (contrast/fluoroscopie).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Schimbare Tip X → 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Păstrare Tip X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RRVS + UIV combinate într-un rând, un singur cod Tip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RRVS (Tip G) și UIV (Tip X) apar pe același rând.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Separare în două rânduri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Păstrare combinat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Hernie inghinală la copil — rând propriu?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Diagnostic clinic, acoperire imagistică marginală.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Nu se adaugă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adaugă: Ecografie, doar cazuri particulare, grad C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Aparat digestiv — Boală inflamatorie intestinală (Crohn) – bilanț și monitorizare</w:t>
      </w:r>
    </w:p>
    <w:p>
      <w:r>
        <w:rPr>
          <w:i/>
          <w:color w:val="555555"/>
        </w:rPr>
        <w:t>Cf. ACR Appropriateness Criteria – Crohn Disease (considerații pediatrice); ESPGHAN/ESPR.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Entero-IRM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Referință la copil, neiradiantă: extindere, activitate, complicații.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de anse intestinale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 și monitorizare: îngroșare parietală, Doppler.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Entero-CT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context acut/ocluziv sau IRM indisponibil.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Aparat locomotor — Artrită septică / osteomielită acută</w:t>
      </w:r>
    </w:p>
    <w:p>
      <w:r>
        <w:rPr>
          <w:i/>
          <w:color w:val="555555"/>
        </w:rPr>
        <w:t>Cf. ACR Appropriateness Criteria – Osteomyelitis or Septic Arthritis-Child; Acutely Limping Child Up To Age 5.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Revărsat, ghidaj puncție — cheie diagnostică.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Referință: edem osos precoce, abces.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Inițial adesea normală; exclude alte cauze.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Scintigrafie osoasă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Sediu neclar clinic sau focare multiple.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Aparat locomotor — Artrită idiopatică juvenilă (AIJ) – bilanț articular</w:t>
      </w:r>
    </w:p>
    <w:p>
      <w:r>
        <w:rPr>
          <w:i/>
          <w:color w:val="555555"/>
        </w:rPr>
        <w:t>Cf. EULAR-PReS – imaging in juvenile idiopathic arthritis (Colebatch-Bourn 2015).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Sinovită, eroziuni precoce; articulații profunde (șold, ATM, sacro-iliace).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(Doppler)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Sinovită, revărsat; monitorizare, ghidaj infiltrații.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Torace, pulmon, cord — Bronșiolită acută (sugar)</w:t>
      </w:r>
    </w:p>
    <w:p>
      <w:r>
        <w:rPr>
          <w:i/>
          <w:color w:val="555555"/>
        </w:rPr>
        <w:t>Cf. AAP Clinical Practice Guideline – Bronchiolitis (2014).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Neindicat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Neindicat de rutină în forma tipică; doar forme severe/atipice.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Torace, pulmon, cord — Malformații pulmonare congenitale (CPAM / sechestru pulmonar) – bilanț postnatal</w:t>
      </w:r>
    </w:p>
    <w:p>
      <w:r>
        <w:rPr>
          <w:i/>
          <w:color w:val="555555"/>
        </w:rPr>
        <w:t>Literatură de specialitate — sursă citabilă de confirmat.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Angio-CT toracic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Caracterizare + pedicul arterial sistemic — esențial pre-chirurgical.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Evaluare inițială; normală nu exclude leziunea.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Uro-nefrologie — Hematurie (macroscopică / microscopică)</w:t>
      </w:r>
    </w:p>
    <w:p>
      <w:r>
        <w:rPr>
          <w:i/>
          <w:color w:val="555555"/>
        </w:rPr>
        <w:t>Cf. ACR Appropriateness Criteria – Hematuria-Child.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reno-vezicală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parenchim, dilatație, litiază, mase.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Uro-nefrologie — Litiază renală (colică / suspiciune)</w:t>
      </w:r>
    </w:p>
    <w:p>
      <w:r>
        <w:rPr>
          <w:i/>
          <w:color w:val="555555"/>
        </w:rPr>
        <w:t>Cf. ACR Appropriateness Criteria – Hematuria-Child (varianta durere/urolitiază).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reno-vezicală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calculi, hidronefroză, fără iradiere.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fără substanță de contrast, cu doză redusă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neconcludentă, suspiciune persistentă.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Gât și coloană vertebrală — Mase cervicale congenitale (chist tireoglos, chist branhial)</w:t>
      </w:r>
    </w:p>
    <w:p>
      <w:r>
        <w:rPr>
          <w:i/>
          <w:color w:val="555555"/>
        </w:rPr>
        <w:t>Cf. ACR Appropriateness Criteria – Neck Mass/Adenopathy (considerații pediatrice).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Localizare, chistic/solid; confirmă țesut tiroidian normal.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Bilanț preoperator, leziuni profunde/complicate.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indisponibil sau suprainfecție.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Pediatrie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Pediatrie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