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Traumatisme — pachet de review</w:t>
      </w:r>
    </w:p>
    <w:p>
      <w:pPr>
        <w:spacing w:after="40"/>
      </w:pPr>
      <w:r>
        <w:rPr>
          <w:b/>
          <w:color w:val="555555"/>
          <w:sz w:val="21"/>
        </w:rPr>
        <w:t>Revizia ghidului de indicații radioimagistice aprobat în 2021 · document de lucru pentru editorul de capitol</w:t>
      </w:r>
    </w:p>
    <w:p>
      <w:pPr>
        <w:spacing w:before="40" w:after="200"/>
        <w:pBdr>
          <w:bottom w:val="single" w:sz="6" w:space="1" w:color="1C5D8C"/>
        </w:pBdr>
      </w:pPr>
    </w:p>
    <w:p>
      <w:r>
        <w:t>Documentul cuprinde, pentru capitolul dumneavoastră: modificările deja aplicate (informativ), problemele rămase de decis, propunerile de conținut nou și duplicatele de rezolvat. Conținutul actual al capitolului nu este reprodus aici — vine din fișierele GHID.csv și GHID.html, atașate.</w:t>
      </w:r>
    </w:p>
    <w:p>
      <w:r>
        <w:t>Vă rugăm să completați coloanele „Decizie” (Aprobat / Respins / Amânat) și „Comentariu” direct în tabele, fără să le modificați structura. Acolo unde o problemă are variante enumerate, este suficient să indicați varianta aleasă.</w:t>
      </w:r>
    </w:p>
    <w:p>
      <w:r>
        <w:rPr>
          <w:i/>
          <w:color w:val="555555"/>
        </w:rPr>
        <w:t>Atașate: GHID.csv și GHID.html — conținutul integral al ghidului — și memoul „Decizii structurale comune”, de citit înaintea acestui pachet.</w:t>
      </w:r>
    </w:p>
    <w:p>
      <w:pPr>
        <w:pStyle w:val="Heading2"/>
      </w:pPr>
      <w:r>
        <w:t>1. Modificări deja aplicate (informativ)</w:t>
      </w:r>
    </w:p>
    <w:p>
      <w:r>
        <w:t>Nu necesită decizie; sunt listate pentru ca revizuirea capitolului să pornească de la starea curentă.</w:t>
      </w:r>
    </w:p>
    <w:p>
      <w:pPr>
        <w:pStyle w:val="ListBullet"/>
      </w:pPr>
      <w:r>
        <w:t>„Traumatism abdominal major” și „Traumatism izolat de bazin” rămân situații distincte (nu comasate): CT abdomino-pelvin unic pentru forma combinată, workup separat pentru fractura izolată de bazin.</w:t>
      </w:r>
    </w:p>
    <w:p>
      <w:pPr>
        <w:pStyle w:val="ListBullet"/>
      </w:pPr>
      <w:r>
        <w:t>Sub-axa capitolului: regiune anatomică + 4 fațete cross-region închise (Sistem vascular, Politraumatism, Corp străin, Aparat urogenital).</w:t>
      </w:r>
    </w:p>
    <w:p>
      <w:pPr>
        <w:pStyle w:val="ListBullet"/>
      </w:pPr>
      <w:r>
        <w:t>Traumele cranio-faciale duplicate din capitolul Cap au fost eliminate — păstrate versiunile canonice din Traumatisme.</w:t>
      </w:r>
    </w:p>
    <w:p>
      <w:pPr>
        <w:pStyle w:val="Heading2"/>
      </w:pPr>
      <w:r>
        <w:t>2. Probleme de decis</w:t>
      </w:r>
    </w:p>
    <w:tbl>
      <w:tblPr>
        <w:tblStyle w:val="TableGrid"/>
        <w:tblW w:type="dxa" w:w="15100"/>
        <w:tblLayout w:type="fixed"/>
        <w:tblLook w:firstColumn="1" w:firstRow="1" w:lastColumn="0" w:lastRow="0" w:noHBand="0" w:noVBand="1" w:val="04A0"/>
      </w:tblPr>
      <w:tblGrid>
        <w:gridCol w:w="8500"/>
        <w:gridCol w:w="3000"/>
        <w:gridCol w:w="3600"/>
      </w:tblGrid>
      <w:tr>
        <w:trPr>
          <w:tblHeader w:val="true"/>
        </w:trPr>
        <w:tc>
          <w:tcPr>
            <w:tcW w:type="dxa" w:w="85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Problemă</w:t>
            </w:r>
          </w:p>
        </w:tc>
        <w:tc>
          <w:tcPr>
            <w:tcW w:type="dxa" w:w="30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6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</w:t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Corp străin ingerat (faringian/esofagian înalt) — rămâne în Traumatisme?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E mai degrabă patologie digestivă/ORL decât traumă; există un cvasi-duplicat cu Gât (părți moi) › Diverse (etichete diferite, conținut aproape identic).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Rămâne în Traumatisme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mută la Aparat digestiv / ORL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păstrează distinct în ambele (context diferit: urgență vs bilanț)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Traumatism de membru — situație generică, unde se inserează?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Sub-axa Traumatisme e regională, fără bucket generic „Membre”.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inserează identic în Membru superior și Membru inferior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Rămâne situație generică unică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pStyle w:val="Heading2"/>
      </w:pPr>
      <w:r>
        <w:t>3. Propuneri de conținut nou</w:t>
      </w:r>
    </w:p>
    <w:p>
      <w:r>
        <w:t>Gradele și dozele sunt orientative — necesită validare. Fiecare rând, separat, se aprobă, se respinge sau se amână.</w:t>
      </w:r>
    </w:p>
    <w:p>
      <w:pPr>
        <w:pStyle w:val="Heading3"/>
      </w:pPr>
      <w:r>
        <w:t>Gât (subcapitol nou) — Traumatism cervical penetrant (plagă înjunghiată / împușcată; zonele I/II/III)</w:t>
      </w:r>
    </w:p>
    <w:p>
      <w:r>
        <w:rPr>
          <w:i/>
          <w:color w:val="555555"/>
        </w:rPr>
        <w:t>Cf. ACR Appropriateness Criteria – Penetrating Neck Injury (2017).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Angio-CT cervico-toracic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Screening vascular + aerodigestiv într-o singură achiziție, la pacientul fără indicație chirurgicală imediată.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Gât (subcapitol nou) — Leziune laringo-traheală (traumatism cervical închis)</w:t>
      </w:r>
    </w:p>
    <w:p>
      <w:r>
        <w:rPr>
          <w:i/>
          <w:color w:val="555555"/>
        </w:rPr>
        <w:t>Cf. ACR Appropriateness Criteria – Penetrating Neck Injury (leziuni aerodigestive).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cervical (cu reconstrucții)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Fracturi de cartilaj laringian, emfizem, leziuni traheale; completează endoscopia.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Gât (subcapitol nou) — Leziune faringo-esofagiană</w:t>
      </w:r>
    </w:p>
    <w:p>
      <w:r>
        <w:rPr>
          <w:i/>
          <w:color w:val="555555"/>
        </w:rPr>
        <w:t>Cf. ACR Appropriateness Criteria – Penetrating Neck Injury (leziuni aerodigestive).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cervico-toracic cu substanță de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Emfizem cervical/mediastinal, colecții periesofagiene; suspiciune de perforație.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X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Esofagografie cu contrast hidrosolubil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Confirmă extravazarea; contrast hidrosolubil, NU bariu (risc de mediastinită la perforație).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Abdomen — Traumatism abdominal penetrant (armă albă / armă de foc)</w:t>
      </w:r>
    </w:p>
    <w:p>
      <w:r>
        <w:rPr>
          <w:i/>
          <w:color w:val="555555"/>
        </w:rPr>
        <w:t>Cf. ACR Appropriateness Criteria – Penetrating Torso Trauma (2024).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abdomino-pelvin cu substanță de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Pacient stabil: violare peritoneală, leziuni de organ, traiectul plăgii. Distinct de „Traumatism abdominal major” (mecanism contuziv).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Torace — Leziune diafragmatică traumatică</w:t>
      </w:r>
    </w:p>
    <w:p>
      <w:r>
        <w:rPr>
          <w:i/>
          <w:color w:val="555555"/>
        </w:rPr>
        <w:t>Cf. ACR Appropriateness Criteria – Penetrating Torso Trauma (2024).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torace cu reconstrucții coronale/sagitale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Entitate frecvent ratată: hernierea viscerelor, semnul gulerului, discontinuitatea diafragmatică.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Torace — Fractură de stern</w:t>
      </w:r>
    </w:p>
    <w:p>
      <w:r>
        <w:rPr>
          <w:i/>
          <w:color w:val="555555"/>
        </w:rPr>
        <w:t>Cf. RCR iRefer; ACR Appropriateness Criteria (trauma toracică).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Radiografie de stern (profil)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1–2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intenție; incidență laterală/oblică.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torace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Fracturi complexe sau suspiciune de contuzie cardiacă/leziuni mediastinale asociate.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Membru superior și Membru inferior — Traumatism de membru – suspiciune de fractură (adult)</w:t>
      </w:r>
    </w:p>
    <w:p>
      <w:r>
        <w:rPr>
          <w:i/>
          <w:color w:val="555555"/>
        </w:rPr>
        <w:t>Cf. RCR iRefer; ACR Appropriateness Criteria (trauma de extremitate).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Radiografie standard (min. 2 incidențe)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intenție (claviculă, mână/degete, femur diafizar, gambă etc.).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Fracturi complexe/intraarticulare, planificare chirurgicală.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Fracturi oculte (ex. scafoid), leziuni de părți moi/ligamentare.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4. Duplicate de rezolvat</w:t>
      </w:r>
    </w:p>
    <w:p>
      <w:r>
        <w:rPr>
          <w:i/>
          <w:color w:val="555555"/>
        </w:rPr>
        <w:t>Niciun duplicat deschis pentru acest capitol.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5138" w:val="right"/>
      </w:tabs>
    </w:pPr>
    <w:r>
      <w:rPr>
        <w:color w:val="555555"/>
        <w:sz w:val="18"/>
      </w:rPr>
      <w:t>Traumatisme — pachet de review</w:t>
      <w:tab/>
    </w:r>
    <w:r>
      <w:rPr>
        <w:color w:val="555555"/>
        <w:sz w:val="18"/>
      </w:rPr>
      <w:t xml:space="preserve">Pagina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din </w:t>
    </w:r>
    <w:r>
      <w:rPr>
        <w:color w:val="555555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C5D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5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5D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Pachet de review — Traumatisme</dc:title>
  <dc:subject>Revizia ghidului de indicații radioimagistice</dc:subject>
  <dc:creator>python-docx</dc:creator>
  <cp:keywords/>
  <dc:description>Artefact generat de tools/generate_editor_docx.py</dc:description>
  <cp:lastModifiedBy/>
  <cp:revision>1</cp:revision>
  <dcterms:created xsi:type="dcterms:W3CDTF">2013-12-23T23:15:00Z</dcterms:created>
  <dcterms:modified xsi:type="dcterms:W3CDTF">2013-12-23T23:15:00Z</dcterms:modified>
  <cp:category>Pachet de capitol pentru editori</cp:category>
</cp:coreProperties>
</file>