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Traumatisme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„Traumatism abdominal major” și „Traumatism izolat de bazin” rămân situații distincte (nu comasate): CT abdomino-pelvin unic pentru forma combinată, workup separat pentru fractura izolată de bazin.</w:t>
      </w:r>
    </w:p>
    <w:p>
      <w:pPr>
        <w:pStyle w:val="ListBullet"/>
      </w:pPr>
      <w:r>
        <w:t>Sub-axa capitolului: regiune anatomică + 4 fațete cross-region închise (Sistem vascular, Politraumatism, Corp străin, Aparat urogenital).</w:t>
      </w:r>
    </w:p>
    <w:p>
      <w:pPr>
        <w:pStyle w:val="ListBullet"/>
      </w:pPr>
      <w:r>
        <w:t>Traumele cranio-faciale duplicate din capitolul Cap au fost eliminate — păstrate versiunile canonice din Traumatisme.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Corp străin ingerat (faringian/esofagian înalt) — rămâne în Traumatisme?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E mai degrabă patologie digestivă/ORL decât traumă; există un cvasi-duplicat cu Gât (părți moi) › Diverse (etichete diferite, conținut aproape identic).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în Traumatisme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mută la Aparat digestiv / ORL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păstrează distinct în ambele (context diferit: urgență vs bilanț)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Traumatism de membru — situație generică, unde se inserează?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Sub-axa Traumatisme e regională, fără bucket generic „Membre”.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inserează identic în Membru superior și Membru inferior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situație generică unică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Gât (subcapitol nou) — Traumatism cervical penetrant (plagă înjunghiată / împușcată; zonele I/II/III)</w:t>
      </w:r>
    </w:p>
    <w:p>
      <w:r>
        <w:rPr>
          <w:i/>
          <w:color w:val="555555"/>
        </w:rPr>
        <w:t>Cf. ACR Appropriateness Criteria – Penetrating Neck Injury (2017).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cervico-toracic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Screening vascular + aerodigestiv într-o singură achiziție, la pacientul fără indicație chirurgicală imediată.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Gât (subcapitol nou) — Leziune laringo-traheală (traumatism cervical închis)</w:t>
      </w:r>
    </w:p>
    <w:p>
      <w:r>
        <w:rPr>
          <w:i/>
          <w:color w:val="555555"/>
        </w:rPr>
        <w:t>Cf. ACR Appropriateness Criteria – Penetrating Neck Injury (leziuni aerodigestive).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cervical (cu reconstrucții)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Fracturi de cartilaj laringian, emfizem, leziuni traheale; completează endoscopia.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Gât (subcapitol nou) — Leziune faringo-esofagiană</w:t>
      </w:r>
    </w:p>
    <w:p>
      <w:r>
        <w:rPr>
          <w:i/>
          <w:color w:val="555555"/>
        </w:rPr>
        <w:t>Cf. ACR Appropriateness Criteria – Penetrating Neck Injury (leziuni aerodigestive).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cervico-toracic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Emfizem cervical/mediastinal, colecții periesofagiene; suspiciune de perforație.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X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Esofagografie cu contrast hidrosolubil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Confirmă extravazarea; contrast hidrosolubil, NU bariu (risc de mediastinită la perforație).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Abdomen — Traumatism abdominal penetrant (armă albă / armă de foc)</w:t>
      </w:r>
    </w:p>
    <w:p>
      <w:r>
        <w:rPr>
          <w:i/>
          <w:color w:val="555555"/>
        </w:rPr>
        <w:t>Cf. ACR Appropriateness Criteria – Penetrating Torso Trauma (2024).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abdomino-pelvin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Pacient stabil: violare peritoneală, leziuni de organ, traiectul plăgii. Distinct de „Traumatism abdominal major” (mecanism contuziv).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Torace — Leziune diafragmatică traumatică</w:t>
      </w:r>
    </w:p>
    <w:p>
      <w:r>
        <w:rPr>
          <w:i/>
          <w:color w:val="555555"/>
        </w:rPr>
        <w:t>Cf. ACR Appropriateness Criteria – Penetrating Torso Trauma (2024).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torace cu reconstrucții coronale/sagitale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Entitate frecvent ratată: hernierea viscerelor, semnul gulerului, discontinuitatea diafragmatică.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Torace — Fractură de stern</w:t>
      </w:r>
    </w:p>
    <w:p>
      <w:r>
        <w:rPr>
          <w:i/>
          <w:color w:val="555555"/>
        </w:rPr>
        <w:t>Cf. RCR iRefer; ACR Appropriateness Criteria (trauma toracică).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 de stern (profil)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1–2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intenție; incidență laterală/oblică.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torace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Fracturi complexe sau suspiciune de contuzie cardiacă/leziuni mediastinale asociate.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Membru superior și Membru inferior — Traumatism de membru – suspiciune de fractură (adult)</w:t>
      </w:r>
    </w:p>
    <w:p>
      <w:r>
        <w:rPr>
          <w:i/>
          <w:color w:val="555555"/>
        </w:rPr>
        <w:t>Cf. RCR iRefer; ACR Appropriateness Criteria (trauma de extremitate).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 standard (min. 2 incidențe)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 (claviculă, mână/degete, femur diafizar, gambă etc.).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Fracturi complexe/intraarticulare, planificare chirurgicală.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Fracturi oculte (ex. scafoid), leziuni de părți moi/ligamentare.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Traumatisme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Traumatisme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