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Aparat locomotor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fișierul GHID.csv, transmis alături.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Transmise alături: GHID.csv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„Fasceita plantară” mutată la subcapitolul „Picior” (din „Diverse”).</w:t>
      </w:r>
    </w:p>
    <w:p>
      <w:pPr>
        <w:pStyle w:val="ListBullet"/>
      </w:pPr>
      <w:r>
        <w:t>„Patologia umărului” comasată cu „Umăr dureros” (artrografia adusă la „Doar cu aviz specializat”/B, consecvent cu restul subcapitolului).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„Nevralgie cervico-brahială” (subcapitol Umăr) — rămâne acolo sau se mută la Coloană cervicală?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Toate examenele vizează coloana cervicală (radiculopatie), nu umărul; motivul actual e diagnosticul diferențial al umărului dureros. Coloană vertebrală › Coloană cervicală are deja o situație omonimă.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la Umăr (fațetă de diagnostic diferențial)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mută la Coloană vertebrală › Coloană cervicală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Osteomielita piciorului diabetic — situație separată de „Osteomielită – suspiciune”?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ACR o tratează ca scenariu distinct (complicații particulare).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acoperită generic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Topicuri opționale — de adăugat dacă se dorește acoperire exhaustivă?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Sindrom dureros de trohanter mare / bursită trohanteriană (Șold); boala Paget osoasă (Diverse); artropatie microcristalină / gută cu DECT (extindere a „Artropatie inflamatorie”).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adaugă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se adaugă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se validează clinic. Fiecare rând se aprobă, se respinge sau se amână separat.</w:t>
      </w:r>
    </w:p>
    <w:p>
      <w:pPr>
        <w:pStyle w:val="Heading3"/>
      </w:pPr>
      <w:r>
        <w:t>Pumn și mână (subcapitol nou) — Durere cronică de pumn / mână</w:t>
      </w:r>
    </w:p>
    <w:p>
      <w:r>
        <w:rPr>
          <w:i/>
          <w:color w:val="555555"/>
        </w:rPr>
        <w:t>Cf. ACR Appropriateness Criteria – Chronic Wrist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intenție: artroză, condrocalcinoză, aliniament, sechele.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Leziuni TFCC, ligament scafo-lunar, necroză (Kienböck/scafoid), sinovită.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Tenosinovite, ganglioni, sindrom de tunel carpian.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Pseudartroză de scafoid, aliniament osos, corpi liberi.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Cot (subcapitol nou) — Durere cronică de cot / epicondilită</w:t>
      </w:r>
    </w:p>
    <w:p>
      <w:r>
        <w:rPr>
          <w:i/>
          <w:color w:val="555555"/>
        </w:rPr>
        <w:t>Cf. ACR Appropriateness Criteria – Chronic Elbow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intenție: artroză, corpi liberi, osteocondrită disecantă.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Epicondilită, patologie tendinoasă, colecții, nerv ulnar.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Tendinopatii, leziuni ligamentare/osteocondrale, neuropatie ulnară.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Gleznă (subcapitol nou) — Durere cronică de gleznă / instabilitate</w:t>
      </w:r>
    </w:p>
    <w:p>
      <w:r>
        <w:rPr>
          <w:i/>
          <w:color w:val="555555"/>
        </w:rPr>
        <w:t>Cf. ACR Appropriateness Criteria – Chronic Ankle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(cu încărcare)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intenție: artroză, aliniament, sechele post-traumatice.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Leziuni osteocondrale, tendinoase, ligamentare, impingement.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Patologie tendinoasă, sinovită, ghidaj infiltrații.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1–2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Coaliție tarsală, leziuni osoase/osteocondrale, aliniament.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Osteoporoză — evaluarea densității minerale osoase (DXA)</w:t>
      </w:r>
    </w:p>
    <w:p>
      <w:r>
        <w:rPr>
          <w:i/>
          <w:color w:val="555555"/>
        </w:rPr>
        <w:t>Clinician's guide BHOF/NOF; ISCD.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Osteodensitometrie (DXA coloană + șold)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Diagnostic (T-scor ≤ −2,5) și estimarea riscului de fractură; monitorizare la 1–2 ani.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coloană toraco-lombară (morfometrie / VFA)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Detectarea fracturilor vertebrale de fragilitate.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(QCT)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Cazuri selectate; iradiere mai mare decât DXA.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Sindrom dureros post-protezare — completare (fără IRM azi)</w:t>
      </w:r>
    </w:p>
    <w:p>
      <w:r>
        <w:rPr>
          <w:i/>
          <w:color w:val="555555"/>
        </w:rPr>
        <w:t>Cf. ACR Appropriateness Criteria – Imaging After Total Hip/Knee Arthroplasty (2023).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(cu reducerea artefactelor metalice)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Osteoliză/mobilizare periprotetică, reacție adversă la debriuri metalice, infecție. Secvențe MARS/MAVRIC.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Șold — Necroza aseptică de cap femural — completare (fără CT azi)</w:t>
      </w:r>
    </w:p>
    <w:p>
      <w:r>
        <w:rPr>
          <w:i/>
          <w:color w:val="555555"/>
        </w:rPr>
        <w:t>Cf. ACR Appropriateness Criteria – Osteonecrosis.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Alternativă la IRM contraindicat; evaluarea fracturii subcondrale / colapsului capului femural.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Artrită septică</w:t>
      </w:r>
    </w:p>
    <w:p>
      <w:r>
        <w:rPr>
          <w:i/>
          <w:color w:val="555555"/>
        </w:rPr>
        <w:t>Cf. ACR Appropriateness Criteria – Suspected Osteomyelitis, Septic Arthritis, or Soft Tissue Infection.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Epanșament articular, ghidajul puncției articulare (cheia diagnosticului).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Extensie osoasă / de părți moi, osteomielită asociată.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Inițial adesea normală; exclude alte cauze.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Fractură de stres / insuficiență (suprasolicitare, non-traumatică)</w:t>
      </w:r>
    </w:p>
    <w:p>
      <w:r>
        <w:rPr>
          <w:i/>
          <w:color w:val="555555"/>
        </w:rPr>
        <w:t>Cf. ACR Appropriateness Criteria – Stress (fatigue/insufficiency) Fracture.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Adesea normală precoce.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Cea mai sensibilă (edem osos precoce).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Scintigrafie osoasă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Alternativă când IRM nu e 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Picior — Durere cronică de picior (nevrom Morton, metatarsalgie, disfuncție de tendon tibial posterior)</w:t>
      </w:r>
    </w:p>
    <w:p>
      <w:r>
        <w:rPr>
          <w:i/>
          <w:color w:val="555555"/>
        </w:rPr>
        <w:t>Cf. ACR Appropriateness Criteria – Chronic Foot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Nevrom Morton, tendinopatii, ghidaj infiltrații.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Nevrom, disfuncție de tendon tibial posterior, leziuni osteocondrale.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Aparat locomotor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Aparat locomotor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