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Traumatisme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„Traumatism abdominal major” și „Traumatism izolat de bazin” rămân situații distincte (nu comasate): CT abdomino-pelvin unic pentru forma combinată, workup separat pentru fractura izolată de bazin.</w:t>
      </w:r>
    </w:p>
    <w:p>
      <w:pPr>
        <w:pStyle w:val="ListBullet"/>
      </w:pPr>
      <w:r>
        <w:t>Sub-axa capitolului: regiune anatomică + 4 fațete cross-region închise (Sistem vascular, Politraumatism, Corp străin, Aparat urogenital).</w:t>
      </w:r>
    </w:p>
    <w:p>
      <w:pPr>
        <w:pStyle w:val="ListBullet"/>
      </w:pPr>
      <w:r>
        <w:t>Traumele cranio-faciale duplicate din capitolul Cap au fost eliminate — păstrate versiunile canonice din Traumatisme.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Corp străin ingerat (faringian/esofagian înalt) — rămâne în Traumatisme?</w:t>
            </w:r>
          </w:p>
          <w:p>
            <w:r>
              <w:t>E mai degrabă patologie digestivă/ORL decât traumă; există un cvasi-duplicat cu Gât (părți moi) › Diverse (etichete diferite, conținut aproape identic).</w:t>
            </w:r>
          </w:p>
          <w:p>
            <w:r>
              <w:t>• Rămâne în Traumatisme</w:t>
            </w:r>
          </w:p>
          <w:p>
            <w:r>
              <w:t>• Se mută la Aparat digestiv / ORL</w:t>
            </w:r>
          </w:p>
          <w:p>
            <w:r>
              <w:t>• Se păstrează distinct în ambele (context diferit: urgență vs bilanț)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Traumatism de membru — situație generică, unde se inserează?</w:t>
            </w:r>
          </w:p>
          <w:p>
            <w:r>
              <w:t>Sub-axa Traumatisme e regională, fără bucket generic „Membre”.</w:t>
            </w:r>
          </w:p>
          <w:p>
            <w:r>
              <w:t>• Se inserează identic în Membru superior și Membru inferior</w:t>
            </w:r>
          </w:p>
          <w:p>
            <w:r>
              <w:t>• Rămâne situație generică unică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Gât (subcapitol nou) — Traumatism cervical penetrant (plagă înjunghiată / împușcată; zonele I/II/III)</w:t>
      </w:r>
    </w:p>
    <w:p>
      <w:r>
        <w:rPr>
          <w:i/>
        </w:rPr>
        <w:t>Cf. ACR Appropriateness Criteria – Penetrating Neck Injury (2017).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cervico-toracic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Screening vascular + aerodigestiv într-o singură achiziție, la pacientul fără indicație chirurgicală imediată.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Gât (subcapitol nou) — Leziune laringo-traheală (traumatism cervical închis)</w:t>
      </w:r>
    </w:p>
    <w:p>
      <w:r>
        <w:rPr>
          <w:i/>
        </w:rPr>
        <w:t>Cf. ACR Appropriateness Criteria – Penetrating Neck Injury (leziuni aerodigestive).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cervical (cu reconstrucții)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Fracturi de cartilaj laringian, emfizem, leziuni traheale; completează endoscopia.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Gât (subcapitol nou) — Leziune faringo-esofagiană</w:t>
      </w:r>
    </w:p>
    <w:p>
      <w:r>
        <w:rPr>
          <w:i/>
        </w:rPr>
        <w:t>Cf. ACR Appropriateness Criteria – Penetrating Neck Injury (leziuni aerodigestive).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cervico-toracic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Emfizem cervical/mediastinal, colecții periesofagiene; suspiciune de perforație.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Esofagografie cu contrast hidrosolubil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Confirmă extravazarea; contrast hidrosolubil, NU bariu (risc de mediastinită la perforație).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Abdomen — Traumatism abdominal penetrant (armă albă / armă de foc)</w:t>
      </w:r>
    </w:p>
    <w:p>
      <w:r>
        <w:rPr>
          <w:i/>
        </w:rPr>
        <w:t>Cf. ACR Appropriateness Criteria – Penetrating Torso Trauma (2024).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abdomino-pelvin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Pacient stabil: violare peritoneală, leziuni de organ, traiectul plăgii. Distinct de „Traumatism abdominal major” (mecanism contuziv).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 — Leziune diafragmatică traumatică</w:t>
      </w:r>
    </w:p>
    <w:p>
      <w:r>
        <w:rPr>
          <w:i/>
        </w:rPr>
        <w:t>Cf. ACR Appropriateness Criteria – Penetrating Torso Trauma (2024).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torace cu reconstrucții coronale/sagitale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Entitate frecvent ratată: hernierea viscerelor, semnul gulerului, discontinuitatea diafragmatică.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Torace — Fractură de stern</w:t>
      </w:r>
    </w:p>
    <w:p>
      <w:r>
        <w:rPr>
          <w:i/>
        </w:rPr>
        <w:t>Cf. RCR iRefer; ACR Appropriateness Criteria (trauma toracică).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de stern (profil)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1–2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intenție; incidență laterală/oblică.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torace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Fracturi complexe sau suspiciune de contuzie cardiacă/leziuni mediastinale asociate.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Membru superior și Membru inferior — Traumatism de membru – suspiciune de fractură (adult)</w:t>
      </w:r>
    </w:p>
    <w:p>
      <w:r>
        <w:rPr>
          <w:i/>
        </w:rPr>
        <w:t>Cf. RCR iRefer; ACR Appropriateness Criteria (trauma de extremitate).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standard (min. 2 incidențe)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(claviculă, mână/degete, femur diafizar, gambă etc.).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Fracturi complexe/intraarticulare, planificare chirurgicală.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Fracturi oculte (ex. scafoid), leziuni de părți moi/ligamentare.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