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Decizii structurale comune — toate capitolele</w:t>
      </w:r>
    </w:p>
    <w:p>
      <w:pPr>
        <w:spacing w:after="40"/>
      </w:pPr>
      <w:r>
        <w:rPr>
          <w:b/>
          <w:color w:val="555555"/>
          <w:sz w:val="21"/>
        </w:rPr>
        <w:t>Revizia ghidului de indicații radioimagistice aprobat în 2021 · memo pentru editori</w:t>
      </w:r>
    </w:p>
    <w:p>
      <w:pPr>
        <w:spacing w:before="40" w:after="200"/>
        <w:pBdr>
          <w:bottom w:val="single" w:sz="6" w:space="1" w:color="1C5D8C"/>
        </w:pBdr>
      </w:pPr>
    </w:p>
    <w:p>
      <w:r>
        <w:t>Documentul de față rezumă deciziile de structură aplicate uniform în toate capitolele reviziei: consolidarea procedurilor intervenționale, regula de încadrare a unei situații clinice într-un singur capitol, coloana nouă „Terapeutic” și convențiile de ordonare. Sunt decizii de organizare a conținutului, nu de conținut clinic.</w:t>
      </w:r>
    </w:p>
    <w:p>
      <w:r>
        <w:t>Vă rugăm să îl parcurgeți înainte de pachetul dumneavoastră de capitol: explică de ce anumite situații clinice nu mai apar acolo unde erau în versiunea din 2021. Nu necesită completare — deciziile care vă privesc direct sunt formulate ca întrebări în pachetul de capitol.</w:t>
      </w:r>
    </w:p>
    <w:p>
      <w:pPr>
        <w:pStyle w:val="Heading2"/>
      </w:pPr>
      <w:r>
        <w:t>1. Ierarhia capitolelor — o situație clinică, un singur capitol</w:t>
      </w:r>
    </w:p>
    <w:p>
      <w:r>
        <w:t>Ghidul urmează felul în care se pune problema în fața unui caz — întâi contextul, apoi anatomia. Când o situație clinică poate fi încadrată în mai multe capitole, se aplică prima regulă care se potrivește:</w:t>
      </w:r>
    </w:p>
    <w:p>
      <w:pPr>
        <w:pStyle w:val="ListNumber"/>
      </w:pPr>
      <w:r>
        <w:t>Pacient pediatric → capitolul Pediatrie.</w:t>
      </w:r>
    </w:p>
    <w:p>
      <w:pPr>
        <w:pStyle w:val="ListNumber"/>
      </w:pPr>
      <w:r>
        <w:t>Procedură intervențională → capitolul Radiologie intervențională.</w:t>
      </w:r>
    </w:p>
    <w:p>
      <w:pPr>
        <w:pStyle w:val="ListNumber"/>
      </w:pPr>
      <w:r>
        <w:t>Malignitate cunoscută sau suspectată → capitolul Cancer.</w:t>
      </w:r>
    </w:p>
    <w:p>
      <w:pPr>
        <w:pStyle w:val="ListNumber"/>
      </w:pPr>
      <w:r>
        <w:t>Traumatism acut → capitolul Traumatisme.</w:t>
      </w:r>
    </w:p>
    <w:p>
      <w:pPr>
        <w:pStyle w:val="ListNumber"/>
      </w:pPr>
      <w:r>
        <w:t>În rest → capitolul anatomic (organ / aparat).</w:t>
      </w:r>
    </w:p>
    <w:p>
      <w:pPr>
        <w:ind w:left="340"/>
      </w:pPr>
      <w:r>
        <w:rPr>
          <w:i/>
          <w:color w:val="555555"/>
        </w:rPr>
        <w:t>Prin urmare, conținutul pediatric, oncologic, traumatic sau intervențional care era în capitolul dumneavoastră anatomic a fost mutat — nu eliminat. Senologia face excepție, ca specialitate de sine stătătoare: tot ce ține de sân, inclusiv cancerul de sân și procedurile intervenționale mamare, rămâne în capitolul „Sân”.</w:t>
      </w:r>
    </w:p>
    <w:p>
      <w:pPr>
        <w:pStyle w:val="Heading2"/>
      </w:pPr>
      <w:r>
        <w:t>2. Radiologie intervențională — capitol unic pentru proceduri</w:t>
      </w:r>
    </w:p>
    <w:p>
      <w:r>
        <w:t>Procedurile intervenționale (biopsii, embolizări, drenaje, angiografii terapeutice) sunt consolidate într-un capitol propriu, organizat pe aparate și sisteme. Motivul: sunt proceduri terapeutice, nu doar opțiuni de diagnostic — locul lor nu e întotdeauna potrivit în lista de investigații a unei situații clinice. Două excepții:</w:t>
      </w:r>
    </w:p>
    <w:p>
      <w:pPr>
        <w:pStyle w:val="ListBullet"/>
      </w:pPr>
      <w:r>
        <w:t>ERCP rămâne în capitolul de origine, marcat „Terapeutic = Da”.</w:t>
      </w:r>
    </w:p>
    <w:p>
      <w:pPr>
        <w:pStyle w:val="ListBullet"/>
      </w:pPr>
      <w:r>
        <w:t>Intervenționalul mamar (biopsie percutanată, biopsie ganglionară axilară, localizare preoperatorie, drenaj de abces) rămâne în capitolul „Sân”, lângă restul evaluării senologice.</w:t>
      </w:r>
    </w:p>
    <w:p>
      <w:pPr>
        <w:pStyle w:val="Heading2"/>
      </w:pPr>
      <w:r>
        <w:t>3. Coloana nouă „Terapeutic” (Da / Nu)</w:t>
      </w:r>
    </w:p>
    <w:p>
      <w:r>
        <w:t>Marchează dacă investigația are rol terapeutic, chiar dacă este și diagnostică. Nu există o a treia valoare „mixt”: embolizarea, ablația și drenajul sunt „Da”; biopsia și angiografia diagnostică sunt „Nu”.</w:t>
      </w:r>
    </w:p>
    <w:p>
      <w:pPr>
        <w:pStyle w:val="Heading2"/>
      </w:pPr>
      <w:r>
        <w:t>4. Identificatorul NR.CRT nu are semnificație clinică</w:t>
      </w:r>
    </w:p>
    <w:p>
      <w:r>
        <w:t>NR.CRT este un simplu identificator de rând, folosit intern. Poate fi renumerotat integral la finalul reviziei, deci nu este stabil între versiuni. În corespondență și în comentarii, vă rugăm să vă referiți la o situație clinică prin „Capitol + Situație clinică”, nu prin număr.</w:t>
      </w:r>
    </w:p>
    <w:p>
      <w:pPr>
        <w:pStyle w:val="Heading2"/>
      </w:pPr>
      <w:r>
        <w:t>5. O situație clinică = un singur „acasă”</w:t>
      </w:r>
    </w:p>
    <w:p>
      <w:r>
        <w:t>Fiecare situație clinică apare o singură dată, într-un singur capitol și subcapitol. Trimiterile încrucișate din date („vezi și capitolul X”) au fost eliminate: navigarea după organ, peste capitole, este sarcina aplicației de consultare, nu a textului.</w:t>
      </w:r>
    </w:p>
    <w:p>
      <w:pPr>
        <w:pStyle w:val="Heading2"/>
      </w:pPr>
      <w:r>
        <w:t>6. Ordinea situațiilor clinice</w:t>
      </w:r>
    </w:p>
    <w:p>
      <w:r>
        <w:t>În fiecare subcapitol, situațiile clinice sunt ordonate după fluxul clinic — urgent/acut, apoi cronic, apoi screening și populații speciale — nu alfabetic. „ALTĂ SITUAȚIE CLINICĂ” rămâne întotdeauna ultima.</w:t>
      </w:r>
    </w:p>
    <w:p>
      <w:pPr>
        <w:pStyle w:val="Heading2"/>
      </w:pPr>
      <w:r>
        <w:t>7. Ce nu s-a modificat</w:t>
      </w:r>
    </w:p>
    <w:p>
      <w:r>
        <w:t>Gradele de indicație, dozele și ordinea examenelor în interiorul unei situații clinice au rămas neatinse. Acolo unde ceva pare discutabil, nu a fost corectat unilateral, ci este propus ca problemă de decis în pachetul de capitol.</w:t>
      </w:r>
    </w:p>
    <w:p>
      <w:pPr>
        <w:pStyle w:val="Heading2"/>
      </w:pPr>
      <w:r>
        <w:t>8. Întrebare de board, după încheierea reviewului: structura de capitole</w:t>
      </w:r>
    </w:p>
    <w:p>
      <w:r>
        <w:t>Structura actuală — contextul înaintea anatomiei — rămâne neschimbată pentru această revizie. Semnalăm însă, pentru o discuție separată de board după încheierea reviewului, câteva fragmentări transversale moștenite:</w:t>
      </w:r>
    </w:p>
    <w:p>
      <w:pPr>
        <w:pStyle w:val="ListBullet"/>
      </w:pPr>
      <w:r>
        <w:t>Axul neurologic este împărțit între „Cap › Neuro” și „Coloană vertebrală” — encefalul, separat de măduvă și coloană.</w:t>
      </w:r>
    </w:p>
    <w:p>
      <w:pPr>
        <w:pStyle w:val="ListBullet"/>
      </w:pPr>
      <w:r>
        <w:t>Sfera ORL este împărțită între „Cap › ORL” și „Gât (părți moi)”.</w:t>
      </w:r>
    </w:p>
    <w:p>
      <w:pPr>
        <w:pStyle w:val="ListBullet"/>
      </w:pPr>
      <w:r>
        <w:t>Patologia vasculară este dispersată: cordul la Cardiovascular, carotidele la Neuro, teritoriul periferic la Radiologie intervențională.</w:t>
      </w:r>
    </w:p>
    <w:p>
      <w:pPr>
        <w:pStyle w:val="ListBullet"/>
      </w:pPr>
      <w:r>
        <w:t>Patologia endocrină este dispersată: tiroida la Gât, suprarenalele la Uro-genital, hipofiza la Cap.</w:t>
      </w:r>
    </w:p>
    <w:p>
      <w:r>
        <w:t>Direcția pe care o propunem spre analiză: un capitol „Sistem nervos” (encefal, măduvă, coloană vertebrală) și un capitol „Cap și gât” (ORL, tiroidă, mase cervicale). Nimic din acestea nu se decide acum și nu afectează pachetul de față.</w:t>
      </w:r>
    </w:p>
    <w:p>
      <w:pPr>
        <w:spacing w:before="40" w:after="200"/>
        <w:pBdr>
          <w:bottom w:val="single" w:sz="6" w:space="1" w:color="1C5D8C"/>
        </w:pBdr>
      </w:pPr>
    </w:p>
    <w:p>
      <w:pPr>
        <w:jc w:val="left"/>
      </w:pPr>
      <w:r>
        <w:rPr>
          <w:i/>
          <w:color w:val="555555"/>
        </w:rPr>
        <w:t>Orice observație sau propunere suplimentară este binevenită și va fi supusă discuției comune.</w:t>
      </w:r>
    </w:p>
    <w:p>
      <w:r>
        <w:br w:type="page"/>
      </w:r>
    </w:p>
    <w:p>
      <w:pPr>
        <w:pStyle w:val="Heading1"/>
      </w:pPr>
      <w:r>
        <w:t>Anexă — cum se citesc coloanele ghidului</w:t>
      </w:r>
    </w:p>
    <w:p>
      <w:pPr>
        <w:spacing w:before="40" w:after="200"/>
        <w:pBdr>
          <w:bottom w:val="single" w:sz="6" w:space="1" w:color="1C5D8C"/>
        </w:pBdr>
      </w:pPr>
    </w:p>
    <w:p>
      <w:r>
        <w:t>Anexa explică sensul coloanelor pe care le veți întâlni cel mai des la revizuirea capitolului: statutul recomandării, nivelul de dovezi, nivelul de iradiere și delimitarea dintre cele două coloane de text liber. Este material de referință — nimic din ea nu se completează.</w:t>
      </w:r>
    </w:p>
    <w:p>
      <w:pPr>
        <w:pStyle w:val="Heading2"/>
      </w:pPr>
      <w:r>
        <w:t>Indicație — statutul recomandării</w:t>
      </w:r>
    </w:p>
    <w:p>
      <w:r>
        <w:t>Coloana „Indicație” răspunde la o singură întrebare: în situația clinică descrisă, ce statut are această investigație? Nu este un scor de utilitate a examenului în general, ci raportat la acel tablou clinic. În ghid apar șase valori:</w:t>
      </w:r>
    </w:p>
    <w:tbl>
      <w:tblPr>
        <w:tblStyle w:val="TableGrid"/>
        <w:tblW w:type="dxa" w:w="9400"/>
        <w:tblLayout w:type="fixed"/>
        <w:tblLook w:firstColumn="1" w:firstRow="1" w:lastColumn="0" w:lastRow="0" w:noHBand="0" w:noVBand="1" w:val="04A0"/>
      </w:tblPr>
      <w:tblGrid>
        <w:gridCol w:w="2500"/>
        <w:gridCol w:w="6900"/>
      </w:tblGrid>
      <w:tr>
        <w:trPr>
          <w:tblHeader w:val="true"/>
        </w:trPr>
        <w:tc>
          <w:tcPr>
            <w:tcW w:type="dxa" w:w="2500"/>
            <w:vAlign w:val="top"/>
            <w:shd w:val="clear" w:fill="1C5D8C"/>
          </w:tcPr>
          <w:p>
            <w:pPr>
              <w:spacing w:after="40" w:line="252" w:lineRule="auto"/>
            </w:pPr>
            <w:r>
              <w:rPr>
                <w:b/>
                <w:color w:val="FFFFFF"/>
                <w:sz w:val="20"/>
              </w:rPr>
              <w:t>Valoare</w:t>
            </w:r>
          </w:p>
        </w:tc>
        <w:tc>
          <w:tcPr>
            <w:tcW w:type="dxa" w:w="6900"/>
            <w:vAlign w:val="top"/>
            <w:shd w:val="clear" w:fill="1C5D8C"/>
          </w:tcPr>
          <w:p>
            <w:pPr>
              <w:spacing w:after="40" w:line="252" w:lineRule="auto"/>
            </w:pPr>
            <w:r>
              <w:rPr>
                <w:b/>
                <w:color w:val="FFFFFF"/>
                <w:sz w:val="20"/>
              </w:rPr>
              <w:t>Ce înseamnă</w:t>
            </w:r>
          </w:p>
        </w:tc>
      </w:tr>
      <w:tr>
        <w:tc>
          <w:tcPr>
            <w:tcW w:type="dxa" w:w="2500"/>
            <w:vAlign w:val="top"/>
          </w:tcPr>
          <w:p>
            <w:pPr>
              <w:spacing w:after="40" w:line="252" w:lineRule="auto"/>
            </w:pPr>
            <w:r>
              <w:rPr>
                <w:b/>
                <w:sz w:val="20"/>
              </w:rPr>
              <w:t>Indicat</w:t>
            </w:r>
          </w:p>
        </w:tc>
        <w:tc>
          <w:tcPr>
            <w:tcW w:type="dxa" w:w="6900"/>
            <w:vAlign w:val="top"/>
          </w:tcPr>
          <w:p>
            <w:pPr>
              <w:spacing w:after="40" w:line="252" w:lineRule="auto"/>
            </w:pPr>
            <w:r>
              <w:rPr>
                <w:b w:val="0"/>
                <w:sz w:val="20"/>
              </w:rPr>
              <w:t>Investigația cu cea mai mare șansă de a contribui la diagnostic și la conduita terapeutică — prima alegere pentru acest tablou clinic.</w:t>
            </w:r>
          </w:p>
        </w:tc>
      </w:tr>
      <w:tr>
        <w:tc>
          <w:tcPr>
            <w:tcW w:type="dxa" w:w="2500"/>
            <w:vAlign w:val="top"/>
          </w:tcPr>
          <w:p>
            <w:pPr>
              <w:spacing w:after="40" w:line="252" w:lineRule="auto"/>
            </w:pPr>
            <w:r>
              <w:rPr>
                <w:b/>
                <w:sz w:val="20"/>
              </w:rPr>
              <w:t>Doar în cazuri particulare</w:t>
            </w:r>
          </w:p>
        </w:tc>
        <w:tc>
          <w:tcPr>
            <w:tcW w:type="dxa" w:w="6900"/>
            <w:vAlign w:val="top"/>
          </w:tcPr>
          <w:p>
            <w:pPr>
              <w:spacing w:after="40" w:line="252" w:lineRule="auto"/>
            </w:pPr>
            <w:r>
              <w:rPr>
                <w:b w:val="0"/>
                <w:sz w:val="20"/>
              </w:rPr>
              <w:t>Nu este o investigație de rutină. Se ia în calcul doar dacă există un motiv clinic concret care o justifică; altfel poate fi corect să se amâne examinarea și să se reevalueze pacientul în timp.</w:t>
            </w:r>
          </w:p>
        </w:tc>
      </w:tr>
      <w:tr>
        <w:tc>
          <w:tcPr>
            <w:tcW w:type="dxa" w:w="2500"/>
            <w:vAlign w:val="top"/>
          </w:tcPr>
          <w:p>
            <w:pPr>
              <w:spacing w:after="40" w:line="252" w:lineRule="auto"/>
            </w:pPr>
            <w:r>
              <w:rPr>
                <w:b/>
                <w:sz w:val="20"/>
              </w:rPr>
              <w:t>Doar cu aviz specializat</w:t>
            </w:r>
          </w:p>
        </w:tc>
        <w:tc>
          <w:tcPr>
            <w:tcW w:type="dxa" w:w="6900"/>
            <w:vAlign w:val="top"/>
          </w:tcPr>
          <w:p>
            <w:pPr>
              <w:spacing w:after="40" w:line="252" w:lineRule="auto"/>
            </w:pPr>
            <w:r>
              <w:rPr>
                <w:b w:val="0"/>
                <w:sz w:val="20"/>
              </w:rPr>
              <w:t>Investigație complexă, laborioasă și consumatoare de resurse — se solicită de regulă după discuție cu medicul radiolog sau de medicină nucleară, ori conform protocolului local.</w:t>
            </w:r>
          </w:p>
        </w:tc>
      </w:tr>
      <w:tr>
        <w:tc>
          <w:tcPr>
            <w:tcW w:type="dxa" w:w="2500"/>
            <w:vAlign w:val="top"/>
          </w:tcPr>
          <w:p>
            <w:pPr>
              <w:spacing w:after="40" w:line="252" w:lineRule="auto"/>
            </w:pPr>
            <w:r>
              <w:rPr>
                <w:b/>
                <w:sz w:val="20"/>
              </w:rPr>
              <w:t>Este necesară justificare detaliată</w:t>
            </w:r>
          </w:p>
        </w:tc>
        <w:tc>
          <w:tcPr>
            <w:tcW w:type="dxa" w:w="6900"/>
            <w:vAlign w:val="top"/>
          </w:tcPr>
          <w:p>
            <w:pPr>
              <w:spacing w:after="40" w:line="252" w:lineRule="auto"/>
            </w:pPr>
            <w:r>
              <w:rPr>
                <w:b w:val="0"/>
                <w:sz w:val="20"/>
              </w:rPr>
              <w:t>Se efectuează doar dacă medicul solicitant oferă un motiv clinic explicit și documentat; fără acesta, examinarea nu este justificată.</w:t>
            </w:r>
          </w:p>
        </w:tc>
      </w:tr>
      <w:tr>
        <w:tc>
          <w:tcPr>
            <w:tcW w:type="dxa" w:w="2500"/>
            <w:vAlign w:val="top"/>
          </w:tcPr>
          <w:p>
            <w:pPr>
              <w:spacing w:after="40" w:line="252" w:lineRule="auto"/>
            </w:pPr>
            <w:r>
              <w:rPr>
                <w:b/>
                <w:sz w:val="20"/>
              </w:rPr>
              <w:t>Neindicat în primă intenție</w:t>
            </w:r>
          </w:p>
        </w:tc>
        <w:tc>
          <w:tcPr>
            <w:tcW w:type="dxa" w:w="6900"/>
            <w:vAlign w:val="top"/>
          </w:tcPr>
          <w:p>
            <w:pPr>
              <w:spacing w:after="40" w:line="252" w:lineRule="auto"/>
            </w:pPr>
            <w:r>
              <w:rPr>
                <w:b w:val="0"/>
                <w:sz w:val="20"/>
              </w:rPr>
              <w:t>Poate deveni utilă ulterior, dar nu ca prim pas — se recomandă epuizarea investigațiilor mai potrivite înaintea acesteia.</w:t>
            </w:r>
          </w:p>
        </w:tc>
      </w:tr>
      <w:tr>
        <w:tc>
          <w:tcPr>
            <w:tcW w:type="dxa" w:w="2500"/>
            <w:vAlign w:val="top"/>
          </w:tcPr>
          <w:p>
            <w:pPr>
              <w:spacing w:after="40" w:line="252" w:lineRule="auto"/>
            </w:pPr>
            <w:r>
              <w:rPr>
                <w:b/>
                <w:sz w:val="20"/>
              </w:rPr>
              <w:t>Neindicat</w:t>
            </w:r>
          </w:p>
        </w:tc>
        <w:tc>
          <w:tcPr>
            <w:tcW w:type="dxa" w:w="6900"/>
            <w:vAlign w:val="top"/>
          </w:tcPr>
          <w:p>
            <w:pPr>
              <w:spacing w:after="40" w:line="252" w:lineRule="auto"/>
            </w:pPr>
            <w:r>
              <w:rPr>
                <w:b w:val="0"/>
                <w:sz w:val="20"/>
              </w:rPr>
              <w:t>În acest context clinic, investigația nu este susținută de dovezi.</w:t>
            </w:r>
          </w:p>
        </w:tc>
      </w:tr>
    </w:tbl>
    <w:p>
      <w:pPr>
        <w:spacing w:after="80"/>
      </w:pPr>
    </w:p>
    <w:p>
      <w:pPr>
        <w:pStyle w:val="Heading2"/>
      </w:pPr>
      <w:r>
        <w:t>Grad indicație — nivelul de dovezi</w:t>
      </w:r>
    </w:p>
    <w:p>
      <w:r>
        <w:t>Coloana „Grad indicație” arată pe ce se sprijină recomandarea — cât de solide sunt dovezile din spatele ei. Este independentă de coloana „Indicație”: o investigație poate fi „Indicat” cu grad C (consens al specialiștilor, în lipsa unor studii ample) sau „Neindicat” cu grad A.</w:t>
      </w:r>
    </w:p>
    <w:tbl>
      <w:tblPr>
        <w:tblStyle w:val="TableGrid"/>
        <w:tblW w:type="dxa" w:w="9400"/>
        <w:tblLayout w:type="fixed"/>
        <w:tblLook w:firstColumn="1" w:firstRow="1" w:lastColumn="0" w:lastRow="0" w:noHBand="0" w:noVBand="1" w:val="04A0"/>
      </w:tblPr>
      <w:tblGrid>
        <w:gridCol w:w="2500"/>
        <w:gridCol w:w="6900"/>
      </w:tblGrid>
      <w:tr>
        <w:trPr>
          <w:tblHeader w:val="true"/>
        </w:trPr>
        <w:tc>
          <w:tcPr>
            <w:tcW w:type="dxa" w:w="2500"/>
            <w:vAlign w:val="top"/>
            <w:shd w:val="clear" w:fill="1C5D8C"/>
          </w:tcPr>
          <w:p>
            <w:pPr>
              <w:spacing w:after="40" w:line="252" w:lineRule="auto"/>
            </w:pPr>
            <w:r>
              <w:rPr>
                <w:b/>
                <w:color w:val="FFFFFF"/>
                <w:sz w:val="20"/>
              </w:rPr>
              <w:t>Grad</w:t>
            </w:r>
          </w:p>
        </w:tc>
        <w:tc>
          <w:tcPr>
            <w:tcW w:type="dxa" w:w="6900"/>
            <w:vAlign w:val="top"/>
            <w:shd w:val="clear" w:fill="1C5D8C"/>
          </w:tcPr>
          <w:p>
            <w:pPr>
              <w:spacing w:after="40" w:line="252" w:lineRule="auto"/>
            </w:pPr>
            <w:r>
              <w:rPr>
                <w:b/>
                <w:color w:val="FFFFFF"/>
                <w:sz w:val="20"/>
              </w:rPr>
              <w:t>Ce înseamnă</w:t>
            </w:r>
          </w:p>
        </w:tc>
      </w:tr>
      <w:tr>
        <w:tc>
          <w:tcPr>
            <w:tcW w:type="dxa" w:w="2500"/>
            <w:vAlign w:val="top"/>
          </w:tcPr>
          <w:p>
            <w:pPr>
              <w:spacing w:after="40" w:line="252" w:lineRule="auto"/>
            </w:pPr>
            <w:r>
              <w:rPr>
                <w:b/>
                <w:sz w:val="20"/>
              </w:rPr>
              <w:t>A</w:t>
            </w:r>
          </w:p>
        </w:tc>
        <w:tc>
          <w:tcPr>
            <w:tcW w:type="dxa" w:w="6900"/>
            <w:vAlign w:val="top"/>
          </w:tcPr>
          <w:p>
            <w:pPr>
              <w:spacing w:after="40" w:line="252" w:lineRule="auto"/>
            </w:pPr>
            <w:r>
              <w:rPr>
                <w:b w:val="0"/>
                <w:sz w:val="20"/>
              </w:rPr>
              <w:t>Nivel de dovezi ridicat — studii sau meta-analize solide.</w:t>
            </w:r>
          </w:p>
        </w:tc>
      </w:tr>
      <w:tr>
        <w:tc>
          <w:tcPr>
            <w:tcW w:type="dxa" w:w="2500"/>
            <w:vAlign w:val="top"/>
          </w:tcPr>
          <w:p>
            <w:pPr>
              <w:spacing w:after="40" w:line="252" w:lineRule="auto"/>
            </w:pPr>
            <w:r>
              <w:rPr>
                <w:b/>
                <w:sz w:val="20"/>
              </w:rPr>
              <w:t>B</w:t>
            </w:r>
          </w:p>
        </w:tc>
        <w:tc>
          <w:tcPr>
            <w:tcW w:type="dxa" w:w="6900"/>
            <w:vAlign w:val="top"/>
          </w:tcPr>
          <w:p>
            <w:pPr>
              <w:spacing w:after="40" w:line="252" w:lineRule="auto"/>
            </w:pPr>
            <w:r>
              <w:rPr>
                <w:b w:val="0"/>
                <w:sz w:val="20"/>
              </w:rPr>
              <w:t>Nivel de dovezi moderat.</w:t>
            </w:r>
          </w:p>
        </w:tc>
      </w:tr>
      <w:tr>
        <w:tc>
          <w:tcPr>
            <w:tcW w:type="dxa" w:w="2500"/>
            <w:vAlign w:val="top"/>
          </w:tcPr>
          <w:p>
            <w:pPr>
              <w:spacing w:after="40" w:line="252" w:lineRule="auto"/>
            </w:pPr>
            <w:r>
              <w:rPr>
                <w:b/>
                <w:sz w:val="20"/>
              </w:rPr>
              <w:t>C</w:t>
            </w:r>
          </w:p>
        </w:tc>
        <w:tc>
          <w:tcPr>
            <w:tcW w:type="dxa" w:w="6900"/>
            <w:vAlign w:val="top"/>
          </w:tcPr>
          <w:p>
            <w:pPr>
              <w:spacing w:after="40" w:line="252" w:lineRule="auto"/>
            </w:pPr>
            <w:r>
              <w:rPr>
                <w:b w:val="0"/>
                <w:sz w:val="20"/>
              </w:rPr>
              <w:t>Recomandare bazată pe consens sau pe dovezi limitate.</w:t>
            </w:r>
          </w:p>
        </w:tc>
      </w:tr>
      <w:tr>
        <w:tc>
          <w:tcPr>
            <w:tcW w:type="dxa" w:w="2500"/>
            <w:vAlign w:val="top"/>
          </w:tcPr>
          <w:p>
            <w:pPr>
              <w:spacing w:after="40" w:line="252" w:lineRule="auto"/>
            </w:pPr>
            <w:r>
              <w:rPr>
                <w:b/>
                <w:sz w:val="20"/>
              </w:rPr>
              <w:t>?</w:t>
            </w:r>
          </w:p>
        </w:tc>
        <w:tc>
          <w:tcPr>
            <w:tcW w:type="dxa" w:w="6900"/>
            <w:vAlign w:val="top"/>
          </w:tcPr>
          <w:p>
            <w:pPr>
              <w:spacing w:after="40" w:line="252" w:lineRule="auto"/>
            </w:pPr>
            <w:r>
              <w:rPr>
                <w:b w:val="0"/>
                <w:sz w:val="20"/>
              </w:rPr>
              <w:t>Nivel de dovezi neprecizat în sursa originală.</w:t>
            </w:r>
          </w:p>
        </w:tc>
      </w:tr>
      <w:tr>
        <w:tc>
          <w:tcPr>
            <w:tcW w:type="dxa" w:w="2500"/>
            <w:vAlign w:val="top"/>
          </w:tcPr>
          <w:p>
            <w:pPr>
              <w:spacing w:after="40" w:line="252" w:lineRule="auto"/>
            </w:pPr>
            <w:r>
              <w:rPr>
                <w:b/>
                <w:sz w:val="20"/>
              </w:rPr>
              <w:t>(gol)</w:t>
            </w:r>
          </w:p>
        </w:tc>
        <w:tc>
          <w:tcPr>
            <w:tcW w:type="dxa" w:w="6900"/>
            <w:vAlign w:val="top"/>
          </w:tcPr>
          <w:p>
            <w:pPr>
              <w:spacing w:after="40" w:line="252" w:lineRule="auto"/>
            </w:pPr>
            <w:r>
              <w:rPr>
                <w:b w:val="0"/>
                <w:sz w:val="20"/>
              </w:rPr>
              <w:t>Rând-punte, fără examen concret (Tip Z) — de exemplu „ALTĂ SITUAȚIE CLINICĂ”. Nu are grad și nici doză.</w:t>
            </w:r>
          </w:p>
        </w:tc>
      </w:tr>
    </w:tbl>
    <w:p>
      <w:pPr>
        <w:spacing w:after="80"/>
      </w:pPr>
    </w:p>
    <w:p>
      <w:pPr>
        <w:pStyle w:val="Heading2"/>
      </w:pPr>
      <w:r>
        <w:t>Doza minimă și doza maximă — nivelul de iradiere</w:t>
      </w:r>
    </w:p>
    <w:p>
      <w:r>
        <w:t>Iradierea nu este exprimată în milisievert, ci pe o scală relativă de nivele, de la 0 la 4, aceeași pentru tot ghidul. „Doza 4” înseamnă nivelul cel mai ridicat de iradiere, nu 4 mSv. Fiecare examen are o pereche „Doza Min – Doza Max”, pentru că iradierea reală depinde de protocol, de aparat și de regiunea explorată: minimul este cazul favorabil, iar „Doza Max” este nivelul maxim de iradiere — valoarea de luat în calcul când se cântărește justificarea examenului. Când cele două coincid, examenul are o iradiere previzibilă.</w:t>
      </w:r>
    </w:p>
    <w:tbl>
      <w:tblPr>
        <w:tblStyle w:val="TableGrid"/>
        <w:tblW w:type="dxa" w:w="9400"/>
        <w:tblLayout w:type="fixed"/>
        <w:tblLook w:firstColumn="1" w:firstRow="1" w:lastColumn="0" w:lastRow="0" w:noHBand="0" w:noVBand="1" w:val="04A0"/>
      </w:tblPr>
      <w:tblGrid>
        <w:gridCol w:w="2500"/>
        <w:gridCol w:w="6900"/>
      </w:tblGrid>
      <w:tr>
        <w:trPr>
          <w:tblHeader w:val="true"/>
        </w:trPr>
        <w:tc>
          <w:tcPr>
            <w:tcW w:type="dxa" w:w="2500"/>
            <w:vAlign w:val="top"/>
            <w:shd w:val="clear" w:fill="1C5D8C"/>
          </w:tcPr>
          <w:p>
            <w:pPr>
              <w:spacing w:after="40" w:line="252" w:lineRule="auto"/>
            </w:pPr>
            <w:r>
              <w:rPr>
                <w:b/>
                <w:color w:val="FFFFFF"/>
                <w:sz w:val="20"/>
              </w:rPr>
              <w:t>Nivel</w:t>
            </w:r>
          </w:p>
        </w:tc>
        <w:tc>
          <w:tcPr>
            <w:tcW w:type="dxa" w:w="6900"/>
            <w:vAlign w:val="top"/>
            <w:shd w:val="clear" w:fill="1C5D8C"/>
          </w:tcPr>
          <w:p>
            <w:pPr>
              <w:spacing w:after="40" w:line="252" w:lineRule="auto"/>
            </w:pPr>
            <w:r>
              <w:rPr>
                <w:b/>
                <w:color w:val="FFFFFF"/>
                <w:sz w:val="20"/>
              </w:rPr>
              <w:t>Ce înseamnă</w:t>
            </w:r>
          </w:p>
        </w:tc>
      </w:tr>
      <w:tr>
        <w:tc>
          <w:tcPr>
            <w:tcW w:type="dxa" w:w="2500"/>
            <w:vAlign w:val="top"/>
          </w:tcPr>
          <w:p>
            <w:pPr>
              <w:spacing w:after="40" w:line="252" w:lineRule="auto"/>
            </w:pPr>
            <w:r>
              <w:rPr>
                <w:b/>
                <w:sz w:val="20"/>
              </w:rPr>
              <w:t>0</w:t>
            </w:r>
          </w:p>
        </w:tc>
        <w:tc>
          <w:tcPr>
            <w:tcW w:type="dxa" w:w="6900"/>
            <w:vAlign w:val="top"/>
          </w:tcPr>
          <w:p>
            <w:pPr>
              <w:spacing w:after="40" w:line="252" w:lineRule="auto"/>
            </w:pPr>
            <w:r>
              <w:rPr>
                <w:b w:val="0"/>
                <w:sz w:val="20"/>
              </w:rPr>
              <w:t>Fără iradiere — ecografie, IRM (fără radiații ionizante).</w:t>
            </w:r>
          </w:p>
        </w:tc>
      </w:tr>
      <w:tr>
        <w:tc>
          <w:tcPr>
            <w:tcW w:type="dxa" w:w="2500"/>
            <w:vAlign w:val="top"/>
          </w:tcPr>
          <w:p>
            <w:pPr>
              <w:spacing w:after="40" w:line="252" w:lineRule="auto"/>
            </w:pPr>
            <w:r>
              <w:rPr>
                <w:b/>
                <w:sz w:val="20"/>
              </w:rPr>
              <w:t>1</w:t>
            </w:r>
          </w:p>
        </w:tc>
        <w:tc>
          <w:tcPr>
            <w:tcW w:type="dxa" w:w="6900"/>
            <w:vAlign w:val="top"/>
          </w:tcPr>
          <w:p>
            <w:pPr>
              <w:spacing w:after="40" w:line="252" w:lineRule="auto"/>
            </w:pPr>
            <w:r>
              <w:rPr>
                <w:b w:val="0"/>
                <w:sz w:val="20"/>
              </w:rPr>
              <w:t>Foarte redusă — echivalent cu câteva zile până la câteva săptămâni de fond natural de radiație.</w:t>
            </w:r>
          </w:p>
        </w:tc>
      </w:tr>
      <w:tr>
        <w:tc>
          <w:tcPr>
            <w:tcW w:type="dxa" w:w="2500"/>
            <w:vAlign w:val="top"/>
          </w:tcPr>
          <w:p>
            <w:pPr>
              <w:spacing w:after="40" w:line="252" w:lineRule="auto"/>
            </w:pPr>
            <w:r>
              <w:rPr>
                <w:b/>
                <w:sz w:val="20"/>
              </w:rPr>
              <w:t>2</w:t>
            </w:r>
          </w:p>
        </w:tc>
        <w:tc>
          <w:tcPr>
            <w:tcW w:type="dxa" w:w="6900"/>
            <w:vAlign w:val="top"/>
          </w:tcPr>
          <w:p>
            <w:pPr>
              <w:spacing w:after="40" w:line="252" w:lineRule="auto"/>
            </w:pPr>
            <w:r>
              <w:rPr>
                <w:b w:val="0"/>
                <w:sz w:val="20"/>
              </w:rPr>
              <w:t>Redusă — echivalent cu câteva luni până la un an de fond natural.</w:t>
            </w:r>
          </w:p>
        </w:tc>
      </w:tr>
      <w:tr>
        <w:tc>
          <w:tcPr>
            <w:tcW w:type="dxa" w:w="2500"/>
            <w:vAlign w:val="top"/>
          </w:tcPr>
          <w:p>
            <w:pPr>
              <w:spacing w:after="40" w:line="252" w:lineRule="auto"/>
            </w:pPr>
            <w:r>
              <w:rPr>
                <w:b/>
                <w:sz w:val="20"/>
              </w:rPr>
              <w:t>3</w:t>
            </w:r>
          </w:p>
        </w:tc>
        <w:tc>
          <w:tcPr>
            <w:tcW w:type="dxa" w:w="6900"/>
            <w:vAlign w:val="top"/>
          </w:tcPr>
          <w:p>
            <w:pPr>
              <w:spacing w:after="40" w:line="252" w:lineRule="auto"/>
            </w:pPr>
            <w:r>
              <w:rPr>
                <w:b w:val="0"/>
                <w:sz w:val="20"/>
              </w:rPr>
              <w:t>Medie — echivalent cu aproximativ 1,5–2 ani de fond natural.</w:t>
            </w:r>
          </w:p>
        </w:tc>
      </w:tr>
      <w:tr>
        <w:tc>
          <w:tcPr>
            <w:tcW w:type="dxa" w:w="2500"/>
            <w:vAlign w:val="top"/>
          </w:tcPr>
          <w:p>
            <w:pPr>
              <w:spacing w:after="40" w:line="252" w:lineRule="auto"/>
            </w:pPr>
            <w:r>
              <w:rPr>
                <w:b/>
                <w:sz w:val="20"/>
              </w:rPr>
              <w:t>4</w:t>
            </w:r>
          </w:p>
        </w:tc>
        <w:tc>
          <w:tcPr>
            <w:tcW w:type="dxa" w:w="6900"/>
            <w:vAlign w:val="top"/>
          </w:tcPr>
          <w:p>
            <w:pPr>
              <w:spacing w:after="40" w:line="252" w:lineRule="auto"/>
            </w:pPr>
            <w:r>
              <w:rPr>
                <w:b w:val="0"/>
                <w:sz w:val="20"/>
              </w:rPr>
              <w:t>Ridicată — peste aproximativ 2 ani de fond natural.</w:t>
            </w:r>
          </w:p>
        </w:tc>
      </w:tr>
    </w:tbl>
    <w:p>
      <w:pPr>
        <w:spacing w:after="80"/>
      </w:pPr>
    </w:p>
    <w:p>
      <w:pPr>
        <w:pStyle w:val="Heading2"/>
      </w:pPr>
      <w:r>
        <w:t>„Comentarii” față de „Alte informații”</w:t>
      </w:r>
    </w:p>
    <w:p>
      <w:r>
        <w:t>Ghidul are două coloane de text liber, cu roluri diferite. Distincția contează la revizuire: ce scrieți într-una nu se caută și nu se afișează la fel ca în cealaltă.</w:t>
      </w:r>
    </w:p>
    <w:tbl>
      <w:tblPr>
        <w:tblStyle w:val="TableGrid"/>
        <w:tblW w:type="dxa" w:w="9400"/>
        <w:tblLayout w:type="fixed"/>
        <w:tblLook w:firstColumn="1" w:firstRow="1" w:lastColumn="0" w:lastRow="0" w:noHBand="0" w:noVBand="1" w:val="04A0"/>
      </w:tblPr>
      <w:tblGrid>
        <w:gridCol w:w="2500"/>
        <w:gridCol w:w="6900"/>
      </w:tblGrid>
      <w:tr>
        <w:trPr>
          <w:tblHeader w:val="true"/>
        </w:trPr>
        <w:tc>
          <w:tcPr>
            <w:tcW w:type="dxa" w:w="2500"/>
            <w:vAlign w:val="top"/>
            <w:shd w:val="clear" w:fill="1C5D8C"/>
          </w:tcPr>
          <w:p>
            <w:pPr>
              <w:spacing w:after="40" w:line="252" w:lineRule="auto"/>
            </w:pPr>
            <w:r>
              <w:rPr>
                <w:b/>
                <w:color w:val="FFFFFF"/>
                <w:sz w:val="20"/>
              </w:rPr>
              <w:t>Coloană</w:t>
            </w:r>
          </w:p>
        </w:tc>
        <w:tc>
          <w:tcPr>
            <w:tcW w:type="dxa" w:w="6900"/>
            <w:vAlign w:val="top"/>
            <w:shd w:val="clear" w:fill="1C5D8C"/>
          </w:tcPr>
          <w:p>
            <w:pPr>
              <w:spacing w:after="40" w:line="252" w:lineRule="auto"/>
            </w:pPr>
            <w:r>
              <w:rPr>
                <w:b/>
                <w:color w:val="FFFFFF"/>
                <w:sz w:val="20"/>
              </w:rPr>
              <w:t>Ce conține</w:t>
            </w:r>
          </w:p>
        </w:tc>
      </w:tr>
      <w:tr>
        <w:tc>
          <w:tcPr>
            <w:tcW w:type="dxa" w:w="2500"/>
            <w:vAlign w:val="top"/>
          </w:tcPr>
          <w:p>
            <w:pPr>
              <w:spacing w:after="40" w:line="252" w:lineRule="auto"/>
            </w:pPr>
            <w:r>
              <w:rPr>
                <w:b/>
                <w:sz w:val="20"/>
              </w:rPr>
              <w:t>Comentarii</w:t>
            </w:r>
          </w:p>
        </w:tc>
        <w:tc>
          <w:tcPr>
            <w:tcW w:type="dxa" w:w="6900"/>
            <w:vAlign w:val="top"/>
          </w:tcPr>
          <w:p>
            <w:pPr>
              <w:spacing w:after="40" w:line="252" w:lineRule="auto"/>
            </w:pPr>
            <w:r>
              <w:rPr>
                <w:b w:val="0"/>
                <w:sz w:val="20"/>
              </w:rPr>
              <w:t>Conținut clinic: precizări despre situație, criterii de alegere între examene, cadența de urmărire, diagnostic diferențial, condiții tehnice care schimbă indicația. Tot ce ajută medicul să decidă.</w:t>
            </w:r>
          </w:p>
        </w:tc>
      </w:tr>
      <w:tr>
        <w:tc>
          <w:tcPr>
            <w:tcW w:type="dxa" w:w="2500"/>
            <w:vAlign w:val="top"/>
          </w:tcPr>
          <w:p>
            <w:pPr>
              <w:spacing w:after="40" w:line="252" w:lineRule="auto"/>
            </w:pPr>
            <w:r>
              <w:rPr>
                <w:b/>
                <w:sz w:val="20"/>
              </w:rPr>
              <w:t>Alte informații</w:t>
            </w:r>
          </w:p>
        </w:tc>
        <w:tc>
          <w:tcPr>
            <w:tcW w:type="dxa" w:w="6900"/>
            <w:vAlign w:val="top"/>
          </w:tcPr>
          <w:p>
            <w:pPr>
              <w:spacing w:after="40" w:line="252" w:lineRule="auto"/>
            </w:pPr>
            <w:r>
              <w:rPr>
                <w:b w:val="0"/>
                <w:sz w:val="20"/>
              </w:rPr>
              <w:t>Coduri interne și trimiteri bibliografice: codurile de procedură din radiologia intervențională (de forma „RI - PBx”) și sursele invocate (ACR Appropriateness Criteria, ghiduri ESMO, RCR și altele).</w:t>
            </w:r>
          </w:p>
        </w:tc>
      </w:tr>
    </w:tbl>
    <w:p>
      <w:pPr>
        <w:spacing w:after="80"/>
      </w:pPr>
    </w:p>
    <w:p>
      <w:pPr>
        <w:ind w:left="340"/>
      </w:pPr>
      <w:r>
        <w:rPr>
          <w:i/>
          <w:color w:val="555555"/>
        </w:rPr>
        <w:t>O observație care evită o confuzie frecventă: informația clinică valabilă pentru toată situația este repetată intenționat, în „Comentarii”, pe fiecare investigație a acelei situații. Nu este o scăpare de redactare — rândurile se consultă separat, câte unul, iar fiecare trebuie să fie inteligibil de sine stătător. Doar nota strict specifică unei modalități (ce arată sau cum se face acel examen) rămâne pe rândul ei.</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2" w:val="right"/>
      </w:tabs>
    </w:pPr>
    <w:r>
      <w:rPr>
        <w:color w:val="555555"/>
        <w:sz w:val="18"/>
      </w:rPr>
      <w:t>Decizii structurale comune</w:t>
      <w:tab/>
    </w:r>
    <w:r>
      <w:rPr>
        <w:color w:val="555555"/>
        <w:sz w:val="18"/>
      </w:rPr>
      <w:t xml:space="preserve">Pagina </w:t>
    </w:r>
    <w:r>
      <w:rPr>
        <w:color w:val="555555"/>
        <w:sz w:val="18"/>
      </w:rPr>
      <w:fldChar w:fldCharType="begin"/>
      <w:instrText xml:space="preserve">PAGE</w:instrText>
      <w:fldChar w:fldCharType="end"/>
    </w:r>
    <w:r>
      <w:rPr>
        <w:color w:val="555555"/>
        <w:sz w:val="18"/>
      </w:rPr>
      <w:t xml:space="preserve"> din </w:t>
    </w:r>
    <w:r>
      <w:rPr>
        <w:color w:val="555555"/>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C5D8C"/>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C5D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Decizii structurale comune — toate capitolele</dc:title>
  <dc:subject>Revizia ghidului de indicații radioimagistice</dc:subject>
  <dc:creator>python-docx</dc:creator>
  <cp:keywords/>
  <dc:description>Artefact generat de tools/generate_editor_common.py</dc:description>
  <cp:lastModifiedBy/>
  <cp:revision>1</cp:revision>
  <dcterms:created xsi:type="dcterms:W3CDTF">2013-12-23T23:15:00Z</dcterms:created>
  <dcterms:modified xsi:type="dcterms:W3CDTF">2013-12-23T23:15:00Z</dcterms:modified>
  <cp:category>Memo pentru editori</cp:category>
</cp:coreProperties>
</file>