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C5D8C"/>
        </w:rPr>
        <w:t>Pediatrie</w:t>
      </w:r>
    </w:p>
    <w:p>
      <w:r>
        <w:rPr>
          <w:i/>
        </w:rPr>
        <w:t>Vă rugăm să completați coloanele „Decizie” și „Comentariu” direct în tabele (Aprobat / Respins / Amânat), fără să modificați structura lor.</w:t>
      </w:r>
    </w:p>
    <w:p>
      <w:r>
        <w:rPr>
          <w:i/>
        </w:rPr>
        <w:t>Alăturat: GHID.csv, conținutul integral al ghidului, și „Decizii structurale comune”.</w:t>
      </w:r>
    </w:p>
    <w:p>
      <w:pPr>
        <w:pStyle w:val="Heading2"/>
      </w:pPr>
      <w:r>
        <w:rPr>
          <w:color w:val="1C5D8C"/>
        </w:rPr>
        <w:t>1. Modificări aplicate (informativ)</w:t>
      </w:r>
    </w:p>
    <w:p>
      <w:pPr>
        <w:pStyle w:val="ListBullet"/>
      </w:pPr>
      <w:r>
        <w:t>Traumatisme (subcapitol nou): cranio-cerebral, maltratare (NAI), abdominal minor/major, coloană cervicală, torace, membru, politraumatism.</w:t>
      </w:r>
    </w:p>
    <w:p>
      <w:pPr>
        <w:pStyle w:val="ListBullet"/>
      </w:pPr>
      <w:r>
        <w:t>Oncologie (subcapitol nou): tumori cerebrale/medulare, retinoblastom, neuroblastom, limfom, tumori osoase, rabdomiosarcom, histiocitoză Langerhans. „Masă abdominală palpabilă” mutată aici.</w:t>
      </w:r>
    </w:p>
    <w:p>
      <w:pPr>
        <w:pStyle w:val="Heading2"/>
      </w:pPr>
      <w:r>
        <w:rPr>
          <w:color w:val="1C5D8C"/>
        </w:rPr>
        <w:t>2. Probleme de decis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8400"/>
          </w:tcPr>
          <w:p>
            <w:r/>
            <w:r>
              <w:rPr>
                <w:b/>
                <w:i w:val="0"/>
              </w:rPr>
              <w:t>Problemă</w:t>
            </w:r>
          </w:p>
        </w:tc>
        <w:tc>
          <w:tcPr>
            <w:tcW w:type="dxa" w:w="27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2700"/>
          </w:tcPr>
          <w:p>
            <w:r/>
            <w:r>
              <w:rPr>
                <w:b/>
                <w:i w:val="0"/>
              </w:rPr>
              <w:t>Comentariu</w:t>
            </w:r>
          </w:p>
        </w:tc>
      </w:tr>
      <w:tr>
        <w:tc>
          <w:tcPr>
            <w:tcW w:type="dxa" w:w="8400"/>
          </w:tcPr>
          <w:p>
            <w:r/>
            <w:r>
              <w:rPr>
                <w:b/>
              </w:rPr>
              <w:t>Ecografie la „Masă abdominală sau pelvină palpabilă” — grad B, posibil inconsecvent</w:t>
            </w:r>
          </w:p>
          <w:p>
            <w:r>
              <w:t>Grad B; ecografia e cotată A în situații similare.</w:t>
            </w:r>
          </w:p>
          <w:p>
            <w:r>
              <w:t>• Păstrare grad B</w:t>
            </w:r>
          </w:p>
          <w:p>
            <w:r>
              <w:t>• Ridicare la grad A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400"/>
          </w:tcPr>
          <w:p>
            <w:r/>
            <w:r>
              <w:rPr>
                <w:b/>
              </w:rPr>
              <w:t>Cistosonografie micțională (RVU) — Tip X, dar e tehnică ecografică</w:t>
            </w:r>
          </w:p>
          <w:p>
            <w:r>
              <w:t>Tehnică ecografică, neiradiantă, codificată Tip X (contrast/fluoroscopie).</w:t>
            </w:r>
          </w:p>
          <w:p>
            <w:r>
              <w:t>• Schimbare Tip X → E</w:t>
            </w:r>
          </w:p>
          <w:p>
            <w:r>
              <w:t>• Păstrare Tip X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400"/>
          </w:tcPr>
          <w:p>
            <w:r/>
            <w:r>
              <w:rPr>
                <w:b/>
              </w:rPr>
              <w:t>RRVS + UIV combinate într-un rând, un singur cod Tip</w:t>
            </w:r>
          </w:p>
          <w:p>
            <w:r>
              <w:t>RRVS (Tip G) și UIV (Tip X) apar pe același rând.</w:t>
            </w:r>
          </w:p>
          <w:p>
            <w:r>
              <w:t>• Separare în două rânduri</w:t>
            </w:r>
          </w:p>
          <w:p>
            <w:r>
              <w:t>• Păstrare combinat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400"/>
          </w:tcPr>
          <w:p>
            <w:r/>
            <w:r>
              <w:rPr>
                <w:b/>
              </w:rPr>
              <w:t>Hernie inghinală la copil — rând propriu?</w:t>
            </w:r>
          </w:p>
          <w:p>
            <w:r>
              <w:t>Diagnostic clinic, acoperire imagistică marginală.</w:t>
            </w:r>
          </w:p>
          <w:p>
            <w:r>
              <w:t>• Nu se adaugă</w:t>
            </w:r>
          </w:p>
          <w:p>
            <w:r>
              <w:t>• Se adaugă: Ecografie, doar cazuri particulare, grad C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</w:tr>
    </w:tbl>
    <w:p>
      <w:pPr>
        <w:pStyle w:val="Heading2"/>
      </w:pPr>
      <w:r>
        <w:rPr>
          <w:color w:val="1C5D8C"/>
        </w:rPr>
        <w:t>3. Propuneri noi</w:t>
      </w:r>
    </w:p>
    <w:p>
      <w:r>
        <w:t>Grade și doze orientative — de validat clinic.</w:t>
      </w:r>
    </w:p>
    <w:p>
      <w:pPr>
        <w:pStyle w:val="Heading3"/>
      </w:pPr>
      <w:r>
        <w:rPr>
          <w:color w:val="1C5D8C"/>
        </w:rPr>
        <w:t>Aparat digestiv — Boală inflamatorie intestinală (Crohn) – bilanț și monitorizare</w:t>
      </w:r>
    </w:p>
    <w:p>
      <w:r>
        <w:rPr>
          <w:i/>
        </w:rPr>
        <w:t>Cf. ACR Appropriateness Criteria – Crohn Disease (considerații pediatrice); ESPGHAN/ESPR.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Entero-IRM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Referință la copil, neiradiantă: extindere, activitate, complicații.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Ecografie de anse intestinale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Primă intenție și monitorizare: îngroșare parietală, Doppler.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Entero-CT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context acut/ocluziv sau IRM indisponibil.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Aparat locomotor — Artrită septică / osteomielită acută</w:t>
      </w:r>
    </w:p>
    <w:p>
      <w:r>
        <w:rPr>
          <w:i/>
        </w:rPr>
        <w:t>Cf. ACR Appropriateness Criteria – Osteomyelitis or Septic Arthritis-Child; Acutely Limping Child Up To Age 5.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Ecografie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Revărsat, ghidaj puncție — cheie diagnostică.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IRM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Referință: edem osos precoce, abces.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Radiografie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Inițial adesea normală; exclude alte cauze.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N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Scintigrafie osoasă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Sediu neclar clinic sau focare multiple.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Aparat locomotor — Artrită idiopatică juvenilă (AIJ) – bilanț articular</w:t>
      </w:r>
    </w:p>
    <w:p>
      <w:r>
        <w:rPr>
          <w:i/>
        </w:rPr>
        <w:t>Cf. EULAR-PReS – imaging in juvenile idiopathic arthritis (Colebatch-Bourn 2015).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IRM cu substanță de contrast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Sinovită, eroziuni precoce; articulații profunde (șold, ATM, sacro-iliace).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Ecografie (Doppler)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Sinovită, revărsat; monitorizare, ghidaj infiltrații.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Torace, pulmon, cord — Bronșiolită acută (sugar)</w:t>
      </w:r>
    </w:p>
    <w:p>
      <w:r>
        <w:rPr>
          <w:i/>
        </w:rPr>
        <w:t>Cf. AAP Clinical Practice Guideline – Bronchiolitis (2014).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Radiografie toracică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Neindicat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Neindicat de rutină în forma tipică; doar forme severe/atipice.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Torace, pulmon, cord — Malformații pulmonare congenitale (CPAM / sechestrare pulmonară) – bilanț postnatal</w:t>
      </w:r>
    </w:p>
    <w:p>
      <w:r>
        <w:rPr>
          <w:i/>
        </w:rPr>
        <w:t>Literatură de specialitate — sursă citabilă de confirmat.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Angio-CT toracic cu substanță de contrast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Caracterizare + pedicul arterial sistemic — esențial pre-chirurgical.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Radiografie toracică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Evaluare inițială; normală nu exclude leziunea.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Uro-nefrologie — Hematurie (macroscopică / microscopică)</w:t>
      </w:r>
    </w:p>
    <w:p>
      <w:r>
        <w:rPr>
          <w:i/>
        </w:rPr>
        <w:t>Cf. ACR Appropriateness Criteria – Hematuria-Child.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Ecografie reno-vezicală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Primă intenție: parenchim, dilatație, litiază, mase.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Uro-nefrologie — Litiază renală (colică / suspiciune)</w:t>
      </w:r>
    </w:p>
    <w:p>
      <w:r>
        <w:rPr>
          <w:i/>
        </w:rPr>
        <w:t>Cf. ACR Appropriateness Criteria – Hematuria-Child (varianta durere/urolitiază).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Ecografie reno-vezicală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Primă intenție: calculi, hidronefroză, fără iradiere.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CT fără substanță de contrast, cu doză redusă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Ecografie neconcludentă, suspiciune persistentă.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Gât și coloană vertebrală — Mase cervicale congenitale (chist tireoglos, chist branhial)</w:t>
      </w:r>
    </w:p>
    <w:p>
      <w:r>
        <w:rPr>
          <w:i/>
        </w:rPr>
        <w:t>Cf. ACR Appropriateness Criteria – Neck Mass/Adenopathy (considerații pediatrice).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Ecografie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Localizare, chistic/solid; confirmă țesut tiroidian normal.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IRM cu substanță de contrast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Bilanț preoperator, leziuni profunde/complicate.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CT cu substanță de contrast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IRM indisponibil sau suprainfecție.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2"/>
      </w:pPr>
      <w:r>
        <w:rPr>
          <w:color w:val="1C5D8C"/>
        </w:rPr>
        <w:t>4. Duplicate de rezolvat</w:t>
      </w:r>
    </w:p>
    <w:p>
      <w:r>
        <w:t>(niciun duplicat deschis pentru acest capitol)</w:t>
      </w:r>
    </w:p>
    <w:sectPr w:rsidR="00FC693F" w:rsidRPr="0006063C" w:rsidSect="00034616">
      <w:pgSz w:w="15840" w:h="12240" w:orient="landscape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