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uro-genital și glande suprarenale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Feocromocitom/paragangliom: scintigrafia MIBG coborâtă la „Doar în cazuri particulare”; adăugate PET-CT DOTATATE și PET-CT FDOPA ca examene de elecție (aplicat, EANM/SNMMI 2019).</w:t>
      </w:r>
    </w:p>
    <w:p>
      <w:pPr>
        <w:pStyle w:val="ListBullet"/>
      </w:pPr>
      <w:r>
        <w:t>Sindrom Conn: scintigrafia I131-Norcolesterol coborâtă la „Doar în cazuri particulare” (rol ancilar față de CT + cateterism venos suprarenalian).</w:t>
      </w:r>
    </w:p>
    <w:p>
      <w:pPr>
        <w:pStyle w:val="ListBullet"/>
      </w:pPr>
      <w:r>
        <w:t>Infertilitatea masculină mutată la acest capitol (Aparat genital masculin), înlocuind un breadcrumb spre Obstetrică-ginecologie.</w:t>
      </w:r>
    </w:p>
    <w:p>
      <w:pPr>
        <w:pStyle w:val="ListBullet"/>
      </w:pPr>
      <w:r>
        <w:t>Incontinența urinară feminină și disfuncția de planșeu pelvin au home confirmat la Obstetrică-ginecologie (workup unitar), nu aici.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„Impotență” — Ecografie „Neindicat”, dar comentariul sugerează un rol în forma secundară posttraumatică</w:t>
            </w:r>
          </w:p>
          <w:p>
            <w:r>
              <w:t>Verdictul pare să contrazică propria notă. Posibil rezultat al unei trunchieri de conținut în sursă.</w:t>
            </w:r>
          </w:p>
          <w:p>
            <w:r>
              <w:t>• Se schimbă la „Doar în cazuri particulare”</w:t>
            </w:r>
          </w:p>
          <w:p>
            <w:r>
              <w:t>• Se completează doar comentariul</w:t>
            </w:r>
          </w:p>
          <w:p>
            <w:r>
              <w:t>• Rămâne „Neindicat”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Incidentalom suprarenalian — CT non-contrast subevaluat ca poziție și grad</w:t>
            </w:r>
          </w:p>
          <w:p>
            <w:r>
              <w:t>Comentariul propriu al situației spune că CT cu măsurarea densității e testul-cheie, dar e listat ultimul, grad C, sub IRM și scintigrafie.</w:t>
            </w:r>
          </w:p>
          <w:p>
            <w:r>
              <w:t>• Se promovează CT-ul pe prima poziție / grad mai mare</w:t>
            </w:r>
          </w:p>
          <w:p>
            <w:r>
              <w:t>• Rămâne neschimbat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Sindrom Cushing — două rânduri CT (grad A + grad B) sub aceeași etichetă</w:t>
            </w:r>
          </w:p>
          <w:p>
            <w:r>
              <w:t>Reprezintă de fapt două sub-scenarii etiologice (Cushing ACTH-dependent vs independent), nu un duplicat greșit.</w:t>
            </w:r>
          </w:p>
          <w:p>
            <w:r>
              <w:t>• Etichete de situație separate</w:t>
            </w:r>
          </w:p>
          <w:p>
            <w:r>
              <w:t>• Rămân comasate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Aparat genital masculin — Priapism</w:t>
      </w:r>
    </w:p>
    <w:p>
      <w:r>
        <w:rPr>
          <w:i/>
        </w:rPr>
        <w:t>Cf. AUA/SMSNA – Acute Ischemic Priapism Guideline (2022).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Eco-Doppler penian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Când diagnosticul clinic ischemic/non-ischemic e neconcludent (gazometria din corpii cavernoși rămâne primul test).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