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Aparat locomotor</w:t>
      </w:r>
    </w:p>
    <w:p>
      <w:r>
        <w:rPr>
          <w:i/>
        </w:rPr>
        <w:t>Vă rugăm să completați coloanele „Decizie” și „Comentariu” direct în tabele (Aprobat / Respins / Amânat), fără să modificați structura lor. Alăturat: GHID.csv, conținutul integral al ghidului.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„Fasceita plantară” mutată la subcapitolul „Picior” (din „Diverse”).</w:t>
      </w:r>
    </w:p>
    <w:p>
      <w:pPr>
        <w:pStyle w:val="ListBullet"/>
      </w:pPr>
      <w:r>
        <w:t>„Patologia umărului” comasată cu „Umăr dureros” (artrografia adusă la „Doar cu aviz specializat”/B, consecvent cu restul subcapitolului).</w:t>
      </w:r>
    </w:p>
    <w:p>
      <w:pPr>
        <w:pStyle w:val="Heading2"/>
      </w:pPr>
      <w:r>
        <w:rPr>
          <w:color w:val="1C5D8C"/>
        </w:rPr>
        <w:t>2. Chestiuni de decis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0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Chestiune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„Nevralgie cervico-brahială” (subcapitol Umăr) — rămâne acolo sau se mută la Coloană cervicală?</w:t>
            </w:r>
          </w:p>
          <w:p>
            <w:r>
              <w:t>Toate examenele vizează coloana cervicală (radiculopatie), nu umărul; motivul actual e diagnosticul diferențial al umărului dureros. Coloană vertebrală › Coloană cervicală are deja o situație omonimă.</w:t>
            </w:r>
          </w:p>
          <w:p>
            <w:r>
              <w:t>• Rămâne la Umăr (fațetă de diagnostic diferențial)</w:t>
            </w:r>
          </w:p>
          <w:p>
            <w:r>
              <w:t>• Se mută la Coloană vertebrală › Coloană cervicală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Osteomielita piciorului diabetic — situație separată de „Osteomielită – suspiciune”?</w:t>
            </w:r>
          </w:p>
          <w:p>
            <w:r>
              <w:t>ACR o tratează ca scenariu distinct (complicații particulare).</w:t>
            </w:r>
          </w:p>
          <w:p>
            <w:r>
              <w:t>• Situație proprie</w:t>
            </w:r>
          </w:p>
          <w:p>
            <w:r>
              <w:t>• Rămâne acoperită generic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Pumn și mână (subcapitol nou) — Durere cronică de pumn / mână</w:t>
      </w:r>
    </w:p>
    <w:p>
      <w:r>
        <w:rPr>
          <w:i/>
        </w:rPr>
        <w:t>Cf. ACR Appropriateness Criteria – Chronic Wrist Pain.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intenție: artroză, condrocalcinoză, aliniament, sechele.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Leziuni TFCC, ligament scafo-lunar, necroză (Kienböck/scafoid), sinovită.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Tenosinovite, ganglioni, sindrom de tunel carpian.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Pseudartroză de scafoid, aliniament osos, corpi liberi.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Cot (subcapitol nou) — Durere cronică de cot / epicondilită</w:t>
      </w:r>
    </w:p>
    <w:p>
      <w:r>
        <w:rPr>
          <w:i/>
        </w:rPr>
        <w:t>Cf. ACR Appropriateness Criteria – Chronic Elbow Pain.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intenție: artroză, corpi liberi, osteocondrită disecantă.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Epicondilită, patologie tendinoasă, colecții, nerv ulnar.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Tendinopatii, leziuni ligamentare/osteocondrale, neuropatie ulnară.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Gleznă (subcapitol nou) — Durere cronică de gleznă / instabilitate</w:t>
      </w:r>
    </w:p>
    <w:p>
      <w:r>
        <w:rPr>
          <w:i/>
        </w:rPr>
        <w:t>Cf. ACR Appropriateness Criteria – Chronic Ankle Pain.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(cu încărcare)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intenție: artroză, aliniament, sechele post-traumatice.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Leziuni osteocondrale, tendinoase, ligamentare, impingement.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Patologie tendinoasă, sinovită, ghidaj infiltrații.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1–2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Coaliție tarsală, leziuni osoase/osteocondrale, aliniament.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Diverse — Osteoporoză — evaluarea densității minerale osoase (DXA)</w:t>
      </w:r>
    </w:p>
    <w:p>
      <w:r>
        <w:rPr>
          <w:i/>
        </w:rPr>
        <w:t>Clinician's guide BHOF/NOF; ISCD.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Osteodensitometrie (DXA coloană + șold)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Diagnostic (T-scor ≤ −2,5) și estimarea riscului de fractură; monitorizare la 1–2 ani.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coloană toraco-lombară (morfometrie / VFA)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Detectarea fracturilor vertebrale de fragilitate.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(QCT)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Cazuri selectate; iradiere mai mare decât DXA.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Diverse — Sindrom dureros post-protezare — completare (fără IRM azi)</w:t>
      </w:r>
    </w:p>
    <w:p>
      <w:r>
        <w:rPr>
          <w:i/>
        </w:rPr>
        <w:t>Cf. ACR Appropriateness Criteria – Imaging After Total Hip/Knee Arthroplasty (2023).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(cu reducerea artefactelor metalice)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Osteoliză/mobilizare periprotetică, reacție adversă la debriuri metalice, infecție. Secvențe MARS/MAVRIC.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Șold — Necroza aseptică de cap femural — completare (fără CT azi)</w:t>
      </w:r>
    </w:p>
    <w:p>
      <w:r>
        <w:rPr>
          <w:i/>
        </w:rPr>
        <w:t>Cf. ACR Appropriateness Criteria – Osteonecrosis.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Alternativă la IRM contraindicat; evaluarea fracturii subcondrale / colapsului capului femural.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