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Must include trademark attribution on the page where the logo is being used or in the legal attribution segment of the publication: </w:t>
      </w:r>
    </w:p>
    <w:p w:rsidR="00000000" w:rsidDel="00000000" w:rsidP="00000000" w:rsidRDefault="00000000" w:rsidRPr="00000000">
      <w:pPr>
        <w:ind w:left="1440" w:firstLine="0"/>
        <w:contextualSpacing w:val="0"/>
      </w:pPr>
      <w:r w:rsidDel="00000000" w:rsidR="00000000" w:rsidRPr="00000000">
        <w:rPr>
          <w:rtl w:val="0"/>
        </w:rPr>
        <w:t xml:space="preserve">IBM and the IBM logo are trademarks of International Business Machines Corp., registered in many jurisdictions worldwide.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 not change the size, color or proportion of the artwork provided. </w:t>
      </w:r>
    </w:p>
    <w:p w:rsidR="00000000" w:rsidDel="00000000" w:rsidP="00000000" w:rsidRDefault="00000000" w:rsidRPr="00000000">
      <w:pPr>
        <w:ind w:left="720" w:firstLine="0"/>
        <w:contextualSpacing w:val="0"/>
      </w:pPr>
      <w:r w:rsidDel="00000000" w:rsidR="00000000" w:rsidRPr="00000000">
        <w:rPr>
          <w:rtl w:val="0"/>
        </w:rPr>
        <w:t xml:space="preserve">IBM Blue : Color Specifications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Pantone equivalent: PMS 2718C</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Process equivalent: Cyan 75%, Magenta 43%, Yellow 0%, Black 0% RGB equivalent: Red 90, Green 135, Blue 197</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Broadcast equivalent: Red 22%, Green 42%, Blue 70%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Links must go to www.ibm.com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Must provide your IBM Contact with a mockup of all Marketing Materials on which the Mark is to be used, for approval prior to such use, to ensure the Mark is presented correctly. Any changes required to properly present the Mark will be made at your expense.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Knight, Nanci 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IBM Corporation Telephone: 1-925-277-5093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Email: nknight@us.ibm.com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