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B69BE6" w14:textId="5A45E00A" w:rsidR="00926AC0" w:rsidRDefault="00926AC0">
      <w:r>
        <w:rPr>
          <w:rFonts w:hint="eastAsia"/>
        </w:rPr>
        <w:t>根据题意，我们需要预测5</w:t>
      </w:r>
      <w:r>
        <w:t>0</w:t>
      </w:r>
      <w:r>
        <w:rPr>
          <w:rFonts w:hint="eastAsia"/>
        </w:rPr>
        <w:t>年后鱼类迁徙的目的地，且题目暗示我们重点考虑水温对鱼类迁徙的影响。为此我们首先建立海温模型预测5</w:t>
      </w:r>
      <w:r>
        <w:t>0</w:t>
      </w:r>
      <w:r>
        <w:rPr>
          <w:rFonts w:hint="eastAsia"/>
        </w:rPr>
        <w:t>年后的北大西洋海洋温度。</w:t>
      </w:r>
    </w:p>
    <w:p w14:paraId="769E85A5" w14:textId="077E34A7" w:rsidR="007973F0" w:rsidRDefault="00941EC3">
      <w:r>
        <w:rPr>
          <w:rFonts w:hint="eastAsia"/>
        </w:rPr>
        <w:t>建立海温模型：</w:t>
      </w:r>
    </w:p>
    <w:p w14:paraId="06ED6137" w14:textId="23C8762B" w:rsidR="00941EC3" w:rsidRDefault="00941EC3">
      <w:r>
        <w:tab/>
      </w:r>
      <w:r>
        <w:rPr>
          <w:rFonts w:hint="eastAsia"/>
        </w:rPr>
        <w:t>通过对1</w:t>
      </w:r>
      <w:r>
        <w:t>854</w:t>
      </w:r>
      <w:r>
        <w:rPr>
          <w:rFonts w:hint="eastAsia"/>
        </w:rPr>
        <w:t>年1月1日至今北大西洋海水表面温度观测（每月一次），我们发现海水表面温度的变化具有复杂性，不规律性。我们尝试了LSTM神经网络、线性回归、非线性回归、决策树等方法拟合，但得出的结果精度都不算太高。因此我们最终尝试了长于预测复杂、无规律系统的灰色预测模型。</w:t>
      </w:r>
      <w:r w:rsidR="00230B6E">
        <w:rPr>
          <w:rFonts w:hint="eastAsia"/>
        </w:rPr>
        <w:t>以下是北大西洋某处温度的历史变化图表（3</w:t>
      </w:r>
      <w:r w:rsidR="00230B6E">
        <w:t>52</w:t>
      </w:r>
      <w:r w:rsidR="00230B6E">
        <w:rPr>
          <w:rFonts w:hint="eastAsia"/>
        </w:rPr>
        <w:t>°E</w:t>
      </w:r>
      <w:r w:rsidR="00230B6E">
        <w:t>56</w:t>
      </w:r>
      <w:r w:rsidR="00230B6E">
        <w:rPr>
          <w:rFonts w:hint="eastAsia"/>
        </w:rPr>
        <w:t>°N）</w:t>
      </w:r>
    </w:p>
    <w:p w14:paraId="5C6A1DD8" w14:textId="2E25E8AA" w:rsidR="00230B6E" w:rsidRPr="00230B6E" w:rsidRDefault="00B14011">
      <w:r>
        <w:rPr>
          <w:noProof/>
        </w:rPr>
        <w:drawing>
          <wp:inline distT="0" distB="0" distL="0" distR="0" wp14:anchorId="7F5B9DFE" wp14:editId="1B78CD1F">
            <wp:extent cx="3977640" cy="3977640"/>
            <wp:effectExtent l="0" t="0" r="381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977640" cy="3977640"/>
                    </a:xfrm>
                    <a:prstGeom prst="rect">
                      <a:avLst/>
                    </a:prstGeom>
                  </pic:spPr>
                </pic:pic>
              </a:graphicData>
            </a:graphic>
          </wp:inline>
        </w:drawing>
      </w:r>
    </w:p>
    <w:p w14:paraId="2A7CE977" w14:textId="22972D61" w:rsidR="00926AC0" w:rsidRDefault="00926AC0">
      <w:r>
        <w:tab/>
      </w:r>
      <w:r>
        <w:rPr>
          <w:rFonts w:hint="eastAsia"/>
        </w:rPr>
        <w:t>此外，我们注意到海洋表面温度</w:t>
      </w:r>
      <w:r w:rsidR="00230B6E">
        <w:rPr>
          <w:rFonts w:hint="eastAsia"/>
        </w:rPr>
        <w:t>有明显的季节性，这也是符合一般常理的。因此我们在灰色模型的基础上，考虑季节周期的问题，参考前人的研究成果，使用了季节-灰色模型，以便更好地的预测有季节规律的水温变化。</w:t>
      </w:r>
      <w:r w:rsidR="006B3594">
        <w:rPr>
          <w:rFonts w:hint="eastAsia"/>
        </w:rPr>
        <w:t>（具体的原理见</w:t>
      </w:r>
      <w:r w:rsidR="00694000">
        <w:rPr>
          <w:rFonts w:hint="eastAsia"/>
        </w:rPr>
        <w:t>文献1</w:t>
      </w:r>
      <w:r w:rsidR="006B3594">
        <w:rPr>
          <w:rFonts w:hint="eastAsia"/>
        </w:rPr>
        <w:t>）</w:t>
      </w:r>
    </w:p>
    <w:p w14:paraId="38231E19" w14:textId="453AB446" w:rsidR="006B3594" w:rsidRDefault="006B3594">
      <w:r>
        <w:rPr>
          <w:noProof/>
        </w:rPr>
        <w:lastRenderedPageBreak/>
        <w:drawing>
          <wp:inline distT="0" distB="0" distL="0" distR="0" wp14:anchorId="7822A815" wp14:editId="3026376F">
            <wp:extent cx="5440680" cy="5440680"/>
            <wp:effectExtent l="0" t="0" r="762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40680" cy="5440680"/>
                    </a:xfrm>
                    <a:prstGeom prst="rect">
                      <a:avLst/>
                    </a:prstGeom>
                  </pic:spPr>
                </pic:pic>
              </a:graphicData>
            </a:graphic>
          </wp:inline>
        </w:drawing>
      </w:r>
    </w:p>
    <w:p w14:paraId="172803B4" w14:textId="112749DF" w:rsidR="00230B6E" w:rsidRDefault="00694000">
      <w:r>
        <w:rPr>
          <w:rFonts w:hint="eastAsia"/>
        </w:rPr>
        <w:t>我们先是除去了季节变化的影响，使用了移动平均的方法</w:t>
      </w:r>
    </w:p>
    <w:p w14:paraId="2B49B639" w14:textId="45E063C0" w:rsidR="00694000" w:rsidRDefault="00694000"/>
    <w:p w14:paraId="01C5C818" w14:textId="77777777" w:rsidR="00694000" w:rsidRDefault="00694000" w:rsidP="00694000">
      <w:r>
        <w:rPr>
          <w:rFonts w:hint="eastAsia"/>
        </w:rPr>
        <w:t>二次移动平均即在一次移动平均的基础上再进行一次移动平均。一般两次移动平均的项数是一致的。二次移动平均假设序列长期趋势的斜率是随时间的变化而变化的。</w:t>
      </w:r>
    </w:p>
    <w:p w14:paraId="1B99E656" w14:textId="77777777" w:rsidR="00694000" w:rsidRDefault="00694000" w:rsidP="00694000">
      <w:r>
        <w:t>   二次移动平均长期趋势的拟合公式为：at=2M1t</w:t>
      </w:r>
      <w:r>
        <w:rPr>
          <w:rFonts w:ascii="微软雅黑" w:eastAsia="微软雅黑" w:hAnsi="微软雅黑" w:cs="微软雅黑" w:hint="eastAsia"/>
        </w:rPr>
        <w:t>−</w:t>
      </w:r>
      <w:r>
        <w:t>M2t，其中M1t 表示第一次移动平均的拟合值，M2t表示二次移动平均的拟合值。</w:t>
      </w:r>
    </w:p>
    <w:p w14:paraId="00F39E0D" w14:textId="4CD6D223" w:rsidR="00694000" w:rsidRDefault="00694000" w:rsidP="00694000">
      <w:r>
        <w:t>  进行二次移动平均。</w:t>
      </w:r>
      <w:r>
        <w:rPr>
          <w:rFonts w:hint="eastAsia"/>
        </w:rPr>
        <w:t>得到的图像如下</w:t>
      </w:r>
    </w:p>
    <w:p w14:paraId="5A002884" w14:textId="06C705D7" w:rsidR="000C1376" w:rsidRDefault="000C1376" w:rsidP="00694000">
      <w:r>
        <w:rPr>
          <w:rFonts w:hint="eastAsia"/>
        </w:rPr>
        <w:t>最后，在计算移动季节指数，进行灰色预测。</w:t>
      </w:r>
    </w:p>
    <w:p w14:paraId="41F0C7E0" w14:textId="789A52C2" w:rsidR="000C1376" w:rsidRDefault="000C1376" w:rsidP="00694000">
      <w:r>
        <w:rPr>
          <w:rFonts w:hint="eastAsia"/>
        </w:rPr>
        <w:t>预测得到结果如下。</w:t>
      </w:r>
    </w:p>
    <w:p w14:paraId="5365E31F" w14:textId="77777777" w:rsidR="000C1376" w:rsidRPr="00694000" w:rsidRDefault="000C1376" w:rsidP="00694000"/>
    <w:p w14:paraId="3717FDBE" w14:textId="04A5F0C9" w:rsidR="00694000" w:rsidRDefault="00986B9C" w:rsidP="00694000">
      <w:r>
        <w:rPr>
          <w:noProof/>
        </w:rPr>
        <w:lastRenderedPageBreak/>
        <w:drawing>
          <wp:inline distT="0" distB="0" distL="0" distR="0" wp14:anchorId="6D12EFFC" wp14:editId="53510F47">
            <wp:extent cx="5274310" cy="527431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5274310"/>
                    </a:xfrm>
                    <a:prstGeom prst="rect">
                      <a:avLst/>
                    </a:prstGeom>
                  </pic:spPr>
                </pic:pic>
              </a:graphicData>
            </a:graphic>
          </wp:inline>
        </w:drawing>
      </w:r>
    </w:p>
    <w:p w14:paraId="32EAC14D" w14:textId="7C59C84F" w:rsidR="005B65F7" w:rsidRDefault="005B65F7" w:rsidP="00694000">
      <w:r>
        <w:rPr>
          <w:rFonts w:hint="eastAsia"/>
        </w:rPr>
        <w:t>可以看出，预测的结果</w:t>
      </w:r>
      <w:r w:rsidR="00986B9C">
        <w:rPr>
          <w:rFonts w:hint="eastAsia"/>
        </w:rPr>
        <w:t>与原来的数据变化趋势非常相似</w:t>
      </w:r>
    </w:p>
    <w:p w14:paraId="1B666A4C" w14:textId="40B3FB50" w:rsidR="00790EA5" w:rsidRDefault="00790EA5" w:rsidP="00694000"/>
    <w:p w14:paraId="09D46FB7" w14:textId="77B3BFD9" w:rsidR="00694000" w:rsidRDefault="00A356F5" w:rsidP="00694000">
      <w:r>
        <w:rPr>
          <w:noProof/>
        </w:rPr>
        <w:lastRenderedPageBreak/>
        <w:drawing>
          <wp:inline distT="0" distB="0" distL="0" distR="0" wp14:anchorId="600385F7" wp14:editId="37CE12CB">
            <wp:extent cx="5274310" cy="5274310"/>
            <wp:effectExtent l="0" t="0" r="254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5274310"/>
                    </a:xfrm>
                    <a:prstGeom prst="rect">
                      <a:avLst/>
                    </a:prstGeom>
                  </pic:spPr>
                </pic:pic>
              </a:graphicData>
            </a:graphic>
          </wp:inline>
        </w:drawing>
      </w:r>
    </w:p>
    <w:p w14:paraId="45D3DA53" w14:textId="018C5957" w:rsidR="00A356F5" w:rsidRDefault="00A356F5" w:rsidP="00694000">
      <w:r>
        <w:rPr>
          <w:rFonts w:hint="eastAsia"/>
        </w:rPr>
        <w:t>从上述图表可知，误差基本呈对称分布，且绝大多数点</w:t>
      </w:r>
      <w:r w:rsidR="00CE5BA1">
        <w:rPr>
          <w:rFonts w:hint="eastAsia"/>
        </w:rPr>
        <w:t>的绝对误差都小于1℃，说明模型的拟合效果还是很不错的。</w:t>
      </w:r>
    </w:p>
    <w:p w14:paraId="004C1B3A" w14:textId="53BD065A" w:rsidR="00CE5BA1" w:rsidRDefault="00CE5BA1" w:rsidP="00694000"/>
    <w:p w14:paraId="5533CCC5" w14:textId="5210942A" w:rsidR="00AD2946" w:rsidRDefault="00790EA5" w:rsidP="00694000">
      <w:r>
        <w:rPr>
          <w:rFonts w:hint="eastAsia"/>
        </w:rPr>
        <w:t>进一步改进</w:t>
      </w:r>
      <w:r w:rsidR="00AD2946">
        <w:rPr>
          <w:rFonts w:hint="eastAsia"/>
        </w:rPr>
        <w:t>海温模型：</w:t>
      </w:r>
    </w:p>
    <w:p w14:paraId="6110FD8E" w14:textId="39C9F08A" w:rsidR="00AD2946" w:rsidRDefault="00AD2946" w:rsidP="00694000">
      <w:r>
        <w:rPr>
          <w:rFonts w:hint="eastAsia"/>
        </w:rPr>
        <w:t>我们发现原有的海温模型虽然符合得很好，但是年均变化不大。而这是和全球气候持续变暖的现实相悖的，说明原有的灰色模型并不能很好地反应真实的情况。我们猜测，海水温度在之前的一百年保持相对稳定，而在后来的几十年不断上升，并且上升速度越来越大，这有很大一部分原因是由人类造成的。人类自工业革命以来，</w:t>
      </w:r>
      <w:r w:rsidR="00C158E7">
        <w:rPr>
          <w:rFonts w:hint="eastAsia"/>
        </w:rPr>
        <w:t>人口不断上升，工业迅猛发展，温室气体排放量不断增加。因此我们考虑使用温室气体作为相关变量预测海洋表面温度的上升。</w:t>
      </w:r>
    </w:p>
    <w:p w14:paraId="131DAD09" w14:textId="4763E5B5" w:rsidR="00C158E7" w:rsidRDefault="00C158E7" w:rsidP="00694000">
      <w:r>
        <w:rPr>
          <w:rFonts w:hint="eastAsia"/>
        </w:rPr>
        <w:t>我们根据文献了解到许多建模学者曾使用RCP预测有关的气候参数。此外，我们还了解到VAR模型长于预测多种变量相关联的时间序列模型。为此我们采用VAR模型，以海水温度、二氧化碳排放、一氧化二氮排放为内因变量，建立时间序列预测模型。</w:t>
      </w:r>
      <w:r w:rsidR="00FC031B">
        <w:rPr>
          <w:rFonts w:hint="eastAsia"/>
        </w:rPr>
        <w:t>此外，为了突出相关性，我们对数据作了年平均，消除了季节的影响，研究年均温室气体排放和海水温度的相关性。</w:t>
      </w:r>
    </w:p>
    <w:p w14:paraId="69E5554F" w14:textId="7C62F38D" w:rsidR="00C158E7" w:rsidRDefault="00C158E7" w:rsidP="00694000">
      <w:r>
        <w:rPr>
          <w:rFonts w:hint="eastAsia"/>
        </w:rPr>
        <w:t>模型的预测结果见</w:t>
      </w:r>
      <w:r w:rsidR="0033125A">
        <w:rPr>
          <w:rFonts w:hint="eastAsia"/>
        </w:rPr>
        <w:t>本文件夹的几个文件</w:t>
      </w:r>
    </w:p>
    <w:p w14:paraId="7B2671CA" w14:textId="53D2DB95" w:rsidR="0033125A" w:rsidRDefault="0033125A" w:rsidP="00694000">
      <w:r>
        <w:rPr>
          <w:rFonts w:hint="eastAsia"/>
        </w:rPr>
        <w:t>此外，为了充分利用RCP的数据（RCP</w:t>
      </w:r>
      <w:r w:rsidR="00FC031B">
        <w:rPr>
          <w:rFonts w:hint="eastAsia"/>
        </w:rPr>
        <w:t>拥有权威的温室气体预测数据</w:t>
      </w:r>
      <w:r>
        <w:rPr>
          <w:rFonts w:hint="eastAsia"/>
        </w:rPr>
        <w:t>），踩在巨人的肩膀上，</w:t>
      </w:r>
      <w:r w:rsidR="00FC031B">
        <w:rPr>
          <w:rFonts w:hint="eastAsia"/>
        </w:rPr>
        <w:t>我们还对RCP所预测的未来数据进行了充分利用。我们首先利用二者的历史数据进行了多</w:t>
      </w:r>
      <w:r w:rsidR="00FC031B">
        <w:rPr>
          <w:rFonts w:hint="eastAsia"/>
        </w:rPr>
        <w:lastRenderedPageBreak/>
        <w:t>元回归分析。经过众多模型的尝试，我们最终选择Linear</w:t>
      </w:r>
      <w:r w:rsidR="00FC031B">
        <w:t xml:space="preserve"> </w:t>
      </w:r>
      <w:r w:rsidR="00FC031B">
        <w:rPr>
          <w:rFonts w:hint="eastAsia"/>
        </w:rPr>
        <w:t>Regression：Robust</w:t>
      </w:r>
      <w:r w:rsidR="00FC031B">
        <w:t xml:space="preserve"> </w:t>
      </w:r>
      <w:r w:rsidR="00FC031B">
        <w:rPr>
          <w:rFonts w:hint="eastAsia"/>
        </w:rPr>
        <w:t>Linear。虽然该模型拟合的RMSE不是最小的，但是数据的趋势把握得是比较到位的，虽然有点模型拟合的RMSE更加小，但是有过拟合之嫌。</w:t>
      </w:r>
    </w:p>
    <w:p w14:paraId="5B3ECC41" w14:textId="03446305" w:rsidR="00BE6545" w:rsidRDefault="00BE6545" w:rsidP="00694000">
      <w:r>
        <w:rPr>
          <w:rFonts w:hint="eastAsia"/>
        </w:rPr>
        <w:t>拟合的结果如下</w:t>
      </w:r>
    </w:p>
    <w:p w14:paraId="71975828" w14:textId="66D5D1D7" w:rsidR="00BE6545" w:rsidRDefault="004E2841" w:rsidP="00694000">
      <w:r>
        <w:rPr>
          <w:rFonts w:hint="eastAsia"/>
          <w:noProof/>
        </w:rPr>
        <w:drawing>
          <wp:inline distT="0" distB="0" distL="0" distR="0" wp14:anchorId="33E0125A" wp14:editId="55C0B4E9">
            <wp:extent cx="5274310" cy="39560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CP线性回归模型结果.bmp"/>
                    <pic:cNvPicPr/>
                  </pic:nvPicPr>
                  <pic:blipFill>
                    <a:blip r:embed="rId8">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063E14A0" w14:textId="75C8F6A9" w:rsidR="00FC031B" w:rsidRDefault="004E2841" w:rsidP="00694000">
      <w:r>
        <w:rPr>
          <w:rFonts w:hint="eastAsia"/>
          <w:noProof/>
        </w:rPr>
        <w:lastRenderedPageBreak/>
        <w:drawing>
          <wp:inline distT="0" distB="0" distL="0" distR="0" wp14:anchorId="6A25088B" wp14:editId="0E55346D">
            <wp:extent cx="5274310" cy="3956050"/>
            <wp:effectExtent l="0" t="0" r="254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CP线性回归.bmp"/>
                    <pic:cNvPicPr/>
                  </pic:nvPicPr>
                  <pic:blipFill>
                    <a:blip r:embed="rId9">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39ABB305" w14:textId="3B13F5A7" w:rsidR="004E2841" w:rsidRDefault="004E2841" w:rsidP="00694000">
      <w:r>
        <w:rPr>
          <w:rFonts w:hint="eastAsia"/>
          <w:noProof/>
        </w:rPr>
        <w:drawing>
          <wp:inline distT="0" distB="0" distL="0" distR="0" wp14:anchorId="41990339" wp14:editId="66A74BCD">
            <wp:extent cx="5274310" cy="3956050"/>
            <wp:effectExtent l="0" t="0" r="254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CP.bmp"/>
                    <pic:cNvPicPr/>
                  </pic:nvPicPr>
                  <pic:blipFill>
                    <a:blip r:embed="rId1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07C3DD04" w14:textId="56556150" w:rsidR="004E2841" w:rsidRDefault="004E2841" w:rsidP="00694000">
      <w:r>
        <w:rPr>
          <w:rFonts w:hint="eastAsia"/>
        </w:rPr>
        <w:t>接着，我们</w:t>
      </w:r>
      <w:r w:rsidR="00DF1CEE">
        <w:rPr>
          <w:rFonts w:hint="eastAsia"/>
        </w:rPr>
        <w:t>利用未来5</w:t>
      </w:r>
      <w:r w:rsidR="00DF1CEE">
        <w:t>0</w:t>
      </w:r>
      <w:r w:rsidR="00DF1CEE">
        <w:rPr>
          <w:rFonts w:hint="eastAsia"/>
        </w:rPr>
        <w:t>年的RCP数据库中的二氧化碳排放量，代入线性回归模型，预测出未来5</w:t>
      </w:r>
      <w:r w:rsidR="00DF1CEE">
        <w:t>0</w:t>
      </w:r>
      <w:r w:rsidR="00DF1CEE">
        <w:rPr>
          <w:rFonts w:hint="eastAsia"/>
        </w:rPr>
        <w:t>年的年平均海水表面温度。</w:t>
      </w:r>
    </w:p>
    <w:p w14:paraId="248322BD" w14:textId="47BDFBC3" w:rsidR="00DF1CEE" w:rsidRDefault="00DF1CEE" w:rsidP="00694000">
      <w:r>
        <w:rPr>
          <w:rFonts w:hint="eastAsia"/>
        </w:rPr>
        <w:lastRenderedPageBreak/>
        <w:t>值得注意的是，基于不同的假设和传播路径，RCP预测数据分为多个层次。我们分别使用了预测较为乐观的RCP</w:t>
      </w:r>
      <w:r>
        <w:t>3</w:t>
      </w:r>
      <w:r>
        <w:rPr>
          <w:rFonts w:hint="eastAsia"/>
        </w:rPr>
        <w:t>-PD（该模型预测人类能较好地控制温室气体的排放），和中</w:t>
      </w:r>
      <w:proofErr w:type="gramStart"/>
      <w:r>
        <w:rPr>
          <w:rFonts w:hint="eastAsia"/>
        </w:rPr>
        <w:t>规</w:t>
      </w:r>
      <w:proofErr w:type="gramEnd"/>
      <w:r>
        <w:rPr>
          <w:rFonts w:hint="eastAsia"/>
        </w:rPr>
        <w:t>中矩的RCP</w:t>
      </w:r>
      <w:r>
        <w:t>45</w:t>
      </w:r>
      <w:r>
        <w:rPr>
          <w:rFonts w:hint="eastAsia"/>
        </w:rPr>
        <w:t>，预测较为被悲观的RCP</w:t>
      </w:r>
      <w:r>
        <w:t>85</w:t>
      </w:r>
      <w:r>
        <w:rPr>
          <w:rFonts w:hint="eastAsia"/>
        </w:rPr>
        <w:t>。</w:t>
      </w:r>
    </w:p>
    <w:p w14:paraId="4FE9145D" w14:textId="38837658" w:rsidR="00DF1CEE" w:rsidRDefault="00F26FDF" w:rsidP="00694000">
      <w:hyperlink r:id="rId11" w:history="1">
        <w:r w:rsidR="00DF1CEE" w:rsidRPr="001F2AFE">
          <w:rPr>
            <w:rStyle w:val="a3"/>
          </w:rPr>
          <w:t>http://worldweather.wmo.int/en/city.html?cityId=730</w:t>
        </w:r>
      </w:hyperlink>
    </w:p>
    <w:p w14:paraId="1FF4BE1F" w14:textId="7DA0F8BC" w:rsidR="00DF1CEE" w:rsidRDefault="00F26FDF" w:rsidP="00694000">
      <w:hyperlink r:id="rId12" w:history="1">
        <w:r w:rsidR="00DF1CEE" w:rsidRPr="001F2AFE">
          <w:rPr>
            <w:rStyle w:val="a3"/>
          </w:rPr>
          <w:t>https://ocean.ices.dk/iroc/#</w:t>
        </w:r>
      </w:hyperlink>
    </w:p>
    <w:p w14:paraId="4E14CBBA" w14:textId="57C1D761" w:rsidR="00DF1CEE" w:rsidRDefault="00DF1CEE" w:rsidP="00694000">
      <w:r>
        <w:rPr>
          <w:rFonts w:hint="eastAsia"/>
        </w:rPr>
        <w:t>根据线性回归模型算出的数据对比之前的模型如下图</w:t>
      </w:r>
    </w:p>
    <w:p w14:paraId="42709887" w14:textId="547B6853" w:rsidR="00DF1CEE" w:rsidRDefault="00DF1CEE" w:rsidP="00694000">
      <w:r>
        <w:rPr>
          <w:noProof/>
        </w:rPr>
        <w:drawing>
          <wp:inline distT="0" distB="0" distL="0" distR="0" wp14:anchorId="00067288" wp14:editId="172729CD">
            <wp:extent cx="5274310" cy="3310255"/>
            <wp:effectExtent l="0" t="0" r="2540" b="4445"/>
            <wp:docPr id="10" name="图表 10">
              <a:extLst xmlns:a="http://schemas.openxmlformats.org/drawingml/2006/main">
                <a:ext uri="{FF2B5EF4-FFF2-40B4-BE49-F238E27FC236}">
                  <a16:creationId xmlns:a16="http://schemas.microsoft.com/office/drawing/2014/main" id="{ACC5BFA0-7B48-4273-BA28-537AB5A154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D5E239A" w14:textId="3F88908E" w:rsidR="002E7FE6" w:rsidRDefault="002E7FE6" w:rsidP="00694000"/>
    <w:p w14:paraId="751E679B" w14:textId="1412A9FA" w:rsidR="002E7FE6" w:rsidRDefault="002E7FE6" w:rsidP="00694000">
      <w:r>
        <w:rPr>
          <w:rFonts w:hint="eastAsia"/>
        </w:rPr>
        <w:t>对比可知</w:t>
      </w:r>
      <w:r w:rsidR="00D3697D">
        <w:rPr>
          <w:rFonts w:hint="eastAsia"/>
        </w:rPr>
        <w:t>灰色预测模型虽然</w:t>
      </w:r>
      <w:r w:rsidR="00F11BA1">
        <w:rPr>
          <w:rFonts w:hint="eastAsia"/>
        </w:rPr>
        <w:t>能较好地符合其季节性，但是丢失了整体升温的趋势，其线性趋势线的斜率仅0</w:t>
      </w:r>
      <w:r w:rsidR="00F11BA1">
        <w:t>.0017</w:t>
      </w:r>
      <w:r w:rsidR="00F11BA1">
        <w:rPr>
          <w:rFonts w:hint="eastAsia"/>
        </w:rPr>
        <w:t>。而基于温室气体进行预测的VAR模型，虽然一开始有点波动，但是整体上较好地反应的其季节性（局部信息）和升温趋势性，而RCP</w:t>
      </w:r>
      <w:r w:rsidR="00F11BA1">
        <w:t>3</w:t>
      </w:r>
      <w:r w:rsidR="00F11BA1">
        <w:rPr>
          <w:rFonts w:hint="eastAsia"/>
        </w:rPr>
        <w:t>-PD虽然绝对值要高于前二者，但是其趋势线斜率要低于VAR模型，甚至在后期该模型还有下降的趋势。这说明该模型是比较乐观的。而RCP</w:t>
      </w:r>
      <w:r w:rsidR="00F11BA1">
        <w:t>45</w:t>
      </w:r>
      <w:r w:rsidR="00F11BA1">
        <w:rPr>
          <w:rFonts w:hint="eastAsia"/>
        </w:rPr>
        <w:t>模型则中</w:t>
      </w:r>
      <w:proofErr w:type="gramStart"/>
      <w:r w:rsidR="00F11BA1">
        <w:rPr>
          <w:rFonts w:hint="eastAsia"/>
        </w:rPr>
        <w:t>规</w:t>
      </w:r>
      <w:proofErr w:type="gramEnd"/>
      <w:r w:rsidR="00F11BA1">
        <w:rPr>
          <w:rFonts w:hint="eastAsia"/>
        </w:rPr>
        <w:t>中矩，具有一定的上升趋势。RCP</w:t>
      </w:r>
      <w:r w:rsidR="00F11BA1">
        <w:t>85</w:t>
      </w:r>
      <w:r w:rsidR="00F11BA1">
        <w:rPr>
          <w:rFonts w:hint="eastAsia"/>
        </w:rPr>
        <w:t>模型的上升趋势最大，说明预测最为悲观。</w:t>
      </w:r>
    </w:p>
    <w:p w14:paraId="2B0F8E66" w14:textId="610E5923" w:rsidR="00F11BA1" w:rsidRDefault="00F11BA1" w:rsidP="00694000"/>
    <w:p w14:paraId="7E7E74E5" w14:textId="1D1591A3" w:rsidR="00D03F08" w:rsidRDefault="00D03F08" w:rsidP="00694000">
      <w:r>
        <w:rPr>
          <w:rFonts w:hint="eastAsia"/>
        </w:rPr>
        <w:t>此外，我们注意到这里我们得到了是年平均数据，虽然趋势更加合理，但是却丢失了季节的信息。为了将原本的灰色预测模型的季节性优势和其他几个模型的趋势性优势相结合。我们打算利用所求得的年平均水温对该模型进行修正。</w:t>
      </w:r>
    </w:p>
    <w:p w14:paraId="5F80DB7A" w14:textId="3A0F481F" w:rsidR="00D03F08" w:rsidRDefault="00D03F08" w:rsidP="00694000"/>
    <w:p w14:paraId="774EA620" w14:textId="227DB376" w:rsidR="00D03F08" w:rsidRDefault="00D03F08" w:rsidP="00694000">
      <w:pPr>
        <w:rPr>
          <w:rFonts w:hint="eastAsia"/>
        </w:rPr>
      </w:pPr>
      <w:r>
        <w:rPr>
          <w:noProof/>
        </w:rPr>
        <w:lastRenderedPageBreak/>
        <w:drawing>
          <wp:inline distT="0" distB="0" distL="0" distR="0" wp14:anchorId="17AAAA7F" wp14:editId="69C7C994">
            <wp:extent cx="5274310" cy="2965873"/>
            <wp:effectExtent l="0" t="0" r="254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2965873"/>
                    </a:xfrm>
                    <a:prstGeom prst="rect">
                      <a:avLst/>
                    </a:prstGeom>
                    <a:noFill/>
                    <a:ln>
                      <a:noFill/>
                    </a:ln>
                  </pic:spPr>
                </pic:pic>
              </a:graphicData>
            </a:graphic>
          </wp:inline>
        </w:drawing>
      </w:r>
    </w:p>
    <w:p w14:paraId="0E19C2EF" w14:textId="52549F16" w:rsidR="00323EF3" w:rsidRDefault="00D03F08" w:rsidP="00694000">
      <w:r>
        <w:rPr>
          <w:rFonts w:hint="eastAsia"/>
        </w:rPr>
        <w:t>利用NOAA提供的季度温室气体浓度数据，我们大致计算出其是基本符合线性关系的。如上图，其是直接看也能看出来。为此我们有理由认为温室气体是基本处于线性增长的。此外，在较短的范围</w:t>
      </w:r>
      <w:r w:rsidR="00377AAE">
        <w:rPr>
          <w:rFonts w:hint="eastAsia"/>
        </w:rPr>
        <w:t>（月的层次）</w:t>
      </w:r>
      <w:r>
        <w:rPr>
          <w:rFonts w:hint="eastAsia"/>
        </w:rPr>
        <w:t>内，</w:t>
      </w:r>
      <w:r w:rsidR="00323EF3">
        <w:rPr>
          <w:rFonts w:hint="eastAsia"/>
        </w:rPr>
        <w:t>根据之前的回归分析，</w:t>
      </w:r>
      <w:r>
        <w:rPr>
          <w:rFonts w:hint="eastAsia"/>
        </w:rPr>
        <w:t>我们可以近似地认为</w:t>
      </w:r>
      <w:r w:rsidR="00377AAE">
        <w:rPr>
          <w:rFonts w:hint="eastAsia"/>
        </w:rPr>
        <w:t>温室气体与SST之间的关系是</w:t>
      </w:r>
      <w:r w:rsidR="00323EF3">
        <w:rPr>
          <w:rFonts w:hint="eastAsia"/>
        </w:rPr>
        <w:t>二次的关系</w:t>
      </w:r>
      <w:r w:rsidR="00377AAE">
        <w:rPr>
          <w:rFonts w:hint="eastAsia"/>
        </w:rPr>
        <w:t>的。</w:t>
      </w:r>
      <w:r w:rsidR="00323EF3">
        <w:rPr>
          <w:rFonts w:hint="eastAsia"/>
        </w:rPr>
        <w:t>（可以直接转换为LaTeX代码）</w:t>
      </w:r>
    </w:p>
    <w:p w14:paraId="5736109C" w14:textId="729F9FA4" w:rsidR="00323EF3" w:rsidRDefault="00323EF3" w:rsidP="00694000">
      <w:r>
        <w:rPr>
          <w:rFonts w:hint="eastAsia"/>
        </w:rPr>
        <w:t>因此我们有</w:t>
      </w:r>
    </w:p>
    <w:p w14:paraId="70BC4326" w14:textId="3F9D67C6" w:rsidR="00323EF3" w:rsidRPr="00323EF3" w:rsidRDefault="00323EF3" w:rsidP="00694000">
      <m:oMathPara>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4A2E409" w14:textId="77E3220E" w:rsidR="00323EF3" w:rsidRDefault="00323EF3" w:rsidP="00694000">
      <w:r>
        <w:t>Y</w:t>
      </w:r>
      <w:r>
        <w:rPr>
          <w:rFonts w:hint="eastAsia"/>
        </w:rPr>
        <w:t>代表SST，x代表温室气体</w:t>
      </w:r>
    </w:p>
    <w:p w14:paraId="5F9E608E" w14:textId="798D3210" w:rsidR="00323EF3" w:rsidRDefault="00323EF3" w:rsidP="00694000">
      <w:r>
        <w:rPr>
          <w:rFonts w:hint="eastAsia"/>
        </w:rPr>
        <w:t>而我们有</w:t>
      </w:r>
    </w:p>
    <w:p w14:paraId="38C68946" w14:textId="480CE023" w:rsidR="00323EF3" w:rsidRPr="00323EF3" w:rsidRDefault="00323EF3" w:rsidP="00694000">
      <m:oMathPara>
        <m:oMath>
          <m:r>
            <w:rPr>
              <w:rFonts w:ascii="Cambria Math" w:hAnsi="Cambria Math"/>
            </w:rPr>
            <m:t>x∝</m:t>
          </m:r>
          <m:r>
            <w:rPr>
              <w:rFonts w:ascii="Cambria Math" w:hAnsi="Cambria Math" w:hint="eastAsia"/>
            </w:rPr>
            <m:t>T</m:t>
          </m:r>
        </m:oMath>
      </m:oMathPara>
    </w:p>
    <w:p w14:paraId="743DC0D9" w14:textId="30FF74A9" w:rsidR="00323EF3" w:rsidRDefault="00323EF3" w:rsidP="00694000">
      <w:r>
        <w:rPr>
          <w:rFonts w:hint="eastAsia"/>
        </w:rPr>
        <w:t>T代表时间</w:t>
      </w:r>
    </w:p>
    <w:p w14:paraId="532B37FB" w14:textId="3A7B1D71" w:rsidR="00323EF3" w:rsidRDefault="00323EF3" w:rsidP="00694000">
      <w:r>
        <w:rPr>
          <w:rFonts w:hint="eastAsia"/>
        </w:rPr>
        <w:t>那么就有</w:t>
      </w:r>
    </w:p>
    <w:p w14:paraId="20254155" w14:textId="7A65D8B9" w:rsidR="00323EF3" w:rsidRPr="00323EF3" w:rsidRDefault="00323EF3" w:rsidP="00694000">
      <m:oMathPara>
        <m:oMath>
          <m:r>
            <w:rPr>
              <w:rFonts w:ascii="Cambria Math" w:hAnsi="Cambria Math"/>
            </w:rPr>
            <m:t>y∝</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0382CC4" w14:textId="753637F8" w:rsidR="00323EF3" w:rsidRDefault="00323EF3" w:rsidP="00694000">
      <w:r>
        <w:rPr>
          <w:rFonts w:hint="eastAsia"/>
        </w:rPr>
        <w:t>所以有</w:t>
      </w:r>
    </w:p>
    <w:p w14:paraId="3C0E0BBF" w14:textId="1FA7A30E" w:rsidR="00323EF3" w:rsidRPr="001C3377" w:rsidRDefault="00323EF3" w:rsidP="00694000">
      <m:oMathPara>
        <m:oMath>
          <m:f>
            <m:fPr>
              <m:ctrlPr>
                <w:rPr>
                  <w:rFonts w:ascii="Cambria Math" w:hAnsi="Cambria Math"/>
                  <w:i/>
                </w:rPr>
              </m:ctrlPr>
            </m:fPr>
            <m:num>
              <m:r>
                <w:rPr>
                  <w:rFonts w:ascii="Cambria Math" w:hAnsi="Cambria Math"/>
                </w:rPr>
                <m:t>ⅆy</m:t>
              </m:r>
            </m:num>
            <m:den>
              <m:r>
                <w:rPr>
                  <w:rFonts w:ascii="Cambria Math" w:hAnsi="Cambria Math"/>
                </w:rPr>
                <m:t>ⅆ</m:t>
              </m:r>
              <m:r>
                <w:rPr>
                  <w:rFonts w:ascii="Cambria Math" w:hAnsi="Cambria Math" w:hint="eastAsia"/>
                </w:rPr>
                <m:t>T</m:t>
              </m:r>
            </m:den>
          </m:f>
          <m:r>
            <w:rPr>
              <w:rFonts w:ascii="Cambria Math" w:hAnsi="Cambria Math"/>
            </w:rPr>
            <m:t>∝T</m:t>
          </m:r>
        </m:oMath>
      </m:oMathPara>
    </w:p>
    <w:p w14:paraId="7D271A1D" w14:textId="08522A1B" w:rsidR="001C3377" w:rsidRDefault="001C3377" w:rsidP="00694000">
      <w:r>
        <w:rPr>
          <w:rFonts w:hint="eastAsia"/>
        </w:rPr>
        <w:t>便有</w:t>
      </w:r>
    </w:p>
    <w:p w14:paraId="5325FA51" w14:textId="7297AC33" w:rsidR="001C3377" w:rsidRDefault="001C3377" w:rsidP="00694000">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r>
                <w:rPr>
                  <w:rFonts w:ascii="Cambria Math" w:hAnsi="Cambria Math"/>
                </w:rPr>
                <m:t>y</m:t>
              </m:r>
            </m:num>
            <m:den>
              <m:r>
                <w:rPr>
                  <w:rFonts w:ascii="Cambria Math" w:hAnsi="Cambria Math"/>
                </w:rPr>
                <m:t>ⅆ</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=C</m:t>
          </m:r>
        </m:oMath>
      </m:oMathPara>
    </w:p>
    <w:p w14:paraId="187CD5BB" w14:textId="01EC36DC" w:rsidR="00D03F08" w:rsidRDefault="00377AAE" w:rsidP="00694000">
      <w:r>
        <w:rPr>
          <w:rFonts w:hint="eastAsia"/>
        </w:rPr>
        <w:t>因此我们就近似地有如下修正公式：</w:t>
      </w:r>
    </w:p>
    <w:p w14:paraId="5E013A43" w14:textId="7024F9DA" w:rsidR="00323EF3" w:rsidRDefault="00323EF3" w:rsidP="00694000"/>
    <w:p w14:paraId="5592050C" w14:textId="77777777" w:rsidR="00323EF3" w:rsidRDefault="00323EF3" w:rsidP="00694000">
      <w:pPr>
        <w:rPr>
          <w:rFonts w:hint="eastAsia"/>
        </w:rPr>
      </w:pPr>
    </w:p>
    <w:p w14:paraId="00131172" w14:textId="0BEF57FE" w:rsidR="00377AAE" w:rsidRDefault="00377AAE" w:rsidP="00694000">
      <w:pPr>
        <w:rPr>
          <w:rFonts w:hint="eastAsia"/>
        </w:rPr>
      </w:pPr>
      <w:r>
        <w:rPr>
          <w:rFonts w:hint="eastAsia"/>
        </w:rPr>
        <w:t>设</w:t>
      </w:r>
    </w:p>
    <w:p w14:paraId="066BF3F8" w14:textId="1E42E698" w:rsidR="00377AAE" w:rsidRPr="00377AAE" w:rsidRDefault="00377AAE" w:rsidP="00377AAE">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12</m:t>
              </m:r>
            </m:sub>
          </m:sSub>
        </m:oMath>
      </m:oMathPara>
    </w:p>
    <w:p w14:paraId="145FBD7D" w14:textId="4BAC242F" w:rsidR="00377AAE" w:rsidRDefault="00377AAE" w:rsidP="00377AAE">
      <w:r>
        <w:rPr>
          <w:rFonts w:hint="eastAsia"/>
        </w:rPr>
        <w:t>为原始灰色预测的温度值</w:t>
      </w:r>
    </w:p>
    <w:p w14:paraId="53E8FBA3" w14:textId="3788A034" w:rsidR="00377AAE" w:rsidRPr="00377AAE" w:rsidRDefault="00377AAE" w:rsidP="00377AAE">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12</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1</m:t>
              </m:r>
              <m:r>
                <w:rPr>
                  <w:rFonts w:ascii="Cambria Math" w:hAnsi="Cambria Math"/>
                </w:rPr>
                <m:t>2</m:t>
              </m:r>
            </m:sub>
          </m:sSub>
        </m:oMath>
      </m:oMathPara>
    </w:p>
    <w:p w14:paraId="25F5001C" w14:textId="77777777" w:rsidR="00377AAE" w:rsidRPr="00377AAE" w:rsidRDefault="00377AAE" w:rsidP="00377AAE">
      <w:pPr>
        <w:rPr>
          <w:rFonts w:hint="eastAsia"/>
        </w:rPr>
      </w:pPr>
    </w:p>
    <w:p w14:paraId="04F8B54D" w14:textId="75D29953" w:rsidR="00377AAE" w:rsidRDefault="00377AAE" w:rsidP="00694000">
      <w:r>
        <w:rPr>
          <w:rFonts w:hint="eastAsia"/>
        </w:rPr>
        <w:t>为修正后的值</w:t>
      </w:r>
    </w:p>
    <w:p w14:paraId="2B510834" w14:textId="6492FFBB" w:rsidR="00377AAE" w:rsidRDefault="00323EF3" w:rsidP="00694000">
      <w:r>
        <w:rPr>
          <w:rFonts w:hint="eastAsia"/>
        </w:rPr>
        <w:t>增量的总和应当等于年平均差值的1</w:t>
      </w:r>
      <w:r>
        <w:t>2</w:t>
      </w:r>
      <w:r>
        <w:rPr>
          <w:rFonts w:hint="eastAsia"/>
        </w:rPr>
        <w:t>倍</w:t>
      </w:r>
      <w:r w:rsidR="00985B24">
        <w:rPr>
          <w:rFonts w:hint="eastAsia"/>
        </w:rPr>
        <w:t>（假定修正后的平均增量不变）</w:t>
      </w:r>
      <w:r w:rsidR="00377AAE">
        <w:rPr>
          <w:rFonts w:hint="eastAsia"/>
        </w:rPr>
        <w:t>，我们有</w:t>
      </w:r>
    </w:p>
    <w:p w14:paraId="1BFAAE50" w14:textId="12FFC49C" w:rsidR="00377AAE" w:rsidRDefault="00377AAE" w:rsidP="00694000">
      <w:pPr>
        <w:rPr>
          <w:rFonts w:hint="eastAsia"/>
        </w:rPr>
      </w:pPr>
      <m:oMathPara>
        <m:oMath>
          <m:f>
            <m:fPr>
              <m:ctrlPr>
                <w:rPr>
                  <w:rFonts w:ascii="Cambria Math" w:hAnsi="Cambria Math"/>
                  <w:i/>
                </w:rPr>
              </m:ctrlPr>
            </m:fPr>
            <m:num>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12</m:t>
                  </m:r>
                </m:sup>
                <m:e>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i</m:t>
                      </m:r>
                    </m:sub>
                  </m:sSub>
                </m:e>
              </m:nary>
            </m:num>
            <m:den>
              <m:r>
                <w:rPr>
                  <w:rFonts w:ascii="Cambria Math" w:hAnsi="Cambria Math"/>
                </w:rPr>
                <m:t>12</m:t>
              </m:r>
            </m:den>
          </m:f>
          <m:r>
            <w:rPr>
              <w:rFonts w:ascii="Cambria Math" w:hAnsi="Cambria Math" w:hint="eastAsia"/>
            </w:rPr>
            <m:t>=</m:t>
          </m:r>
          <m:acc>
            <m:accPr>
              <m:chr m:val="̅"/>
              <m:ctrlPr>
                <w:rPr>
                  <w:rFonts w:ascii="Cambria Math" w:hAnsi="Cambria Math"/>
                  <w:i/>
                </w:rPr>
              </m:ctrlPr>
            </m:accPr>
            <m:e>
              <m:r>
                <w:rPr>
                  <w:rFonts w:ascii="Cambria Math" w:hAnsi="Cambria Math"/>
                </w:rPr>
                <m:t>t</m:t>
              </m:r>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t</m:t>
                  </m:r>
                </m:e>
                <m:sup>
                  <m:r>
                    <w:rPr>
                      <w:rFonts w:ascii="Cambria Math" w:hAnsi="Cambria Math"/>
                    </w:rPr>
                    <m:t>'</m:t>
                  </m:r>
                </m:sup>
              </m:sSup>
            </m:e>
          </m:acc>
        </m:oMath>
      </m:oMathPara>
    </w:p>
    <w:p w14:paraId="4149FDA8" w14:textId="320FB6FA" w:rsidR="00377AAE" w:rsidRPr="00377AAE" w:rsidRDefault="00377AAE" w:rsidP="00694000">
      <m:oMathPara>
        <m:oMath>
          <m:acc>
            <m:accPr>
              <m:chr m:val="̅"/>
              <m:ctrlPr>
                <w:rPr>
                  <w:rFonts w:ascii="Cambria Math" w:hAnsi="Cambria Math"/>
                  <w:i/>
                </w:rPr>
              </m:ctrlPr>
            </m:accPr>
            <m:e>
              <m:r>
                <w:rPr>
                  <w:rFonts w:ascii="Cambria Math" w:hAnsi="Cambria Math"/>
                </w:rPr>
                <m:t>t</m:t>
              </m:r>
            </m:e>
          </m:acc>
          <m:r>
            <w:rPr>
              <w:rFonts w:ascii="Cambria Math" w:hAnsi="Cambria Math"/>
            </w:rPr>
            <m:t>=</m:t>
          </m:r>
          <m:f>
            <m:fPr>
              <m:ctrlPr>
                <w:rPr>
                  <w:rFonts w:ascii="Cambria Math" w:hAnsi="Cambria Math"/>
                  <w:i/>
                </w:rPr>
              </m:ctrlPr>
            </m:fPr>
            <m:num>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12</m:t>
                  </m:r>
                </m:sup>
                <m:e>
                  <m:sSub>
                    <m:sSubPr>
                      <m:ctrlPr>
                        <w:rPr>
                          <w:rFonts w:ascii="Cambria Math" w:hAnsi="Cambria Math"/>
                          <w:i/>
                        </w:rPr>
                      </m:ctrlPr>
                    </m:sSubPr>
                    <m:e>
                      <m:r>
                        <w:rPr>
                          <w:rFonts w:ascii="Cambria Math" w:hAnsi="Cambria Math"/>
                        </w:rPr>
                        <m:t>t</m:t>
                      </m:r>
                    </m:e>
                    <m:sub>
                      <m:r>
                        <w:rPr>
                          <w:rFonts w:ascii="Cambria Math" w:hAnsi="Cambria Math"/>
                        </w:rPr>
                        <m:t>i</m:t>
                      </m:r>
                    </m:sub>
                  </m:sSub>
                </m:e>
              </m:nary>
            </m:num>
            <m:den>
              <m:r>
                <w:rPr>
                  <w:rFonts w:ascii="Cambria Math" w:hAnsi="Cambria Math"/>
                </w:rPr>
                <m:t>12</m:t>
              </m:r>
            </m:den>
          </m:f>
        </m:oMath>
      </m:oMathPara>
    </w:p>
    <w:p w14:paraId="1FEB5376" w14:textId="7C426A01" w:rsidR="00377AAE" w:rsidRDefault="00377AAE" w:rsidP="00694000">
      <m:oMath>
        <m:acc>
          <m:accPr>
            <m:chr m:val="̅"/>
            <m:ctrlPr>
              <w:rPr>
                <w:rFonts w:ascii="Cambria Math" w:hAnsi="Cambria Math"/>
                <w:i/>
              </w:rPr>
            </m:ctrlPr>
          </m:accPr>
          <m:e>
            <m:sSup>
              <m:sSupPr>
                <m:ctrlPr>
                  <w:rPr>
                    <w:rFonts w:ascii="Cambria Math" w:hAnsi="Cambria Math"/>
                    <w:i/>
                  </w:rPr>
                </m:ctrlPr>
              </m:sSupPr>
              <m:e>
                <m:r>
                  <w:rPr>
                    <w:rFonts w:ascii="Cambria Math" w:hAnsi="Cambria Math"/>
                  </w:rPr>
                  <m:t>t</m:t>
                </m:r>
              </m:e>
              <m:sup>
                <m:r>
                  <w:rPr>
                    <w:rFonts w:ascii="Cambria Math" w:hAnsi="Cambria Math"/>
                  </w:rPr>
                  <m:t>'</m:t>
                </m:r>
              </m:sup>
            </m:sSup>
          </m:e>
        </m:acc>
      </m:oMath>
      <w:r>
        <w:rPr>
          <w:rFonts w:hint="eastAsia"/>
        </w:rPr>
        <w:t>为其他模型求出的年平均值</w:t>
      </w:r>
    </w:p>
    <w:p w14:paraId="1AE9AF9D" w14:textId="43B122A6" w:rsidR="00377AAE" w:rsidRDefault="00323EF3" w:rsidP="00694000">
      <w:r>
        <w:rPr>
          <w:rFonts w:hint="eastAsia"/>
        </w:rPr>
        <w:t>此外，</w:t>
      </w:r>
      <w:r w:rsidR="001C3377">
        <w:rPr>
          <w:rFonts w:hint="eastAsia"/>
        </w:rPr>
        <w:t>由</w:t>
      </w:r>
      <w:r>
        <w:rPr>
          <w:rFonts w:hint="eastAsia"/>
        </w:rPr>
        <w:t>上述条件，</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hint="eastAsia"/>
              </w:rPr>
              <m:t>i</m:t>
            </m:r>
          </m:sub>
        </m:sSub>
      </m:oMath>
      <w:r>
        <w:rPr>
          <w:rFonts w:hint="eastAsia"/>
        </w:rPr>
        <w:t>应当是成比例增长的</w:t>
      </w:r>
    </w:p>
    <w:p w14:paraId="2D97080E" w14:textId="67A95A13" w:rsidR="001C3377" w:rsidRDefault="001C3377" w:rsidP="00694000">
      <w:r>
        <w:rPr>
          <w:rFonts w:hint="eastAsia"/>
        </w:rPr>
        <w:t>因此</w:t>
      </w:r>
    </w:p>
    <w:p w14:paraId="66F1827C" w14:textId="15D6BC5E" w:rsidR="001C3377" w:rsidRDefault="001C3377" w:rsidP="00694000">
      <w:pPr>
        <w:rPr>
          <w:rFonts w:hint="eastAsia"/>
        </w:rPr>
      </w:pPr>
      <m:oMathPara>
        <m:oMath>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Δ</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num>
            <m:den>
              <m:r>
                <w:rPr>
                  <w:rFonts w:ascii="Cambria Math" w:hAnsi="Cambria Math"/>
                </w:rPr>
                <m:t>ⅈ-j</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oMath>
      </m:oMathPara>
    </w:p>
    <w:p w14:paraId="1D63D5B4" w14:textId="63ACEFE4" w:rsidR="001C3377" w:rsidRDefault="001C3377" w:rsidP="00694000">
      <w:r>
        <w:rPr>
          <w:rFonts w:hint="eastAsia"/>
        </w:rPr>
        <w:t>而由</w:t>
      </w:r>
    </w:p>
    <w:p w14:paraId="6A06F98B" w14:textId="0BAF9181" w:rsidR="001C3377" w:rsidRDefault="001C3377" w:rsidP="001C3377">
      <w:pPr>
        <w:rPr>
          <w:rFonts w:hint="eastAsia"/>
        </w:rPr>
      </w:pPr>
      <w:r>
        <w:tab/>
      </w:r>
      <m:oMath>
        <m:r>
          <w:rPr>
            <w:rFonts w:ascii="Cambria Math" w:hAnsi="Cambria Math"/>
          </w:rPr>
          <w:br/>
        </m:r>
      </m:oMath>
      <m:oMathPara>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ⅆ</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=C</m:t>
          </m:r>
        </m:oMath>
      </m:oMathPara>
    </w:p>
    <w:p w14:paraId="58996D6E" w14:textId="62549EB1" w:rsidR="001C3377" w:rsidRDefault="001C3377" w:rsidP="00694000">
      <w:r>
        <w:rPr>
          <w:rFonts w:hint="eastAsia"/>
        </w:rPr>
        <w:t>我们可以得</w:t>
      </w:r>
    </w:p>
    <w:p w14:paraId="6358C9F6" w14:textId="4BF5EEA4" w:rsidR="001C3377" w:rsidRDefault="001C3377" w:rsidP="00694000">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oMath>
      </m:oMathPara>
    </w:p>
    <w:p w14:paraId="3C2E12A7" w14:textId="6D3FFC5E" w:rsidR="00323EF3" w:rsidRDefault="001C3377" w:rsidP="00694000">
      <w:r>
        <w:rPr>
          <w:rFonts w:hint="eastAsia"/>
        </w:rPr>
        <w:t>而这里的</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可以由其他模型的年平均变化曲线近似地求出来</w:t>
      </w:r>
    </w:p>
    <w:p w14:paraId="19CA2050" w14:textId="290E0DB4" w:rsidR="001C3377" w:rsidRDefault="001C3377" w:rsidP="00694000">
      <w:r>
        <w:rPr>
          <w:rFonts w:hint="eastAsia"/>
        </w:rPr>
        <w:t>再利用该值来修正灰色模型即可</w:t>
      </w:r>
    </w:p>
    <w:p w14:paraId="1B306B57" w14:textId="2B929DE2" w:rsidR="00085918" w:rsidRDefault="00085918" w:rsidP="00694000"/>
    <w:p w14:paraId="32BFA033" w14:textId="7A1D5BB2" w:rsidR="00085918" w:rsidRDefault="00085918" w:rsidP="00694000">
      <w:r>
        <w:rPr>
          <w:rFonts w:hint="eastAsia"/>
        </w:rPr>
        <w:t>修正的后的SST即保留了季节-灰色模型的局部周期性，又突出了全球气候变暖背景下的整体升温趋势性，故用此值来参与接下来的建模计算</w:t>
      </w:r>
    </w:p>
    <w:p w14:paraId="5353ABC2" w14:textId="02ADC77B" w:rsidR="00085918" w:rsidRDefault="00085918" w:rsidP="00694000">
      <w:r>
        <w:rPr>
          <w:rFonts w:hint="eastAsia"/>
        </w:rPr>
        <w:t>利用不同的模型修正即可得到不同的SST值</w:t>
      </w:r>
    </w:p>
    <w:p w14:paraId="5FCA5D93" w14:textId="7174AA77" w:rsidR="00F26FDF" w:rsidRDefault="00F26FDF" w:rsidP="00694000"/>
    <w:p w14:paraId="23BC94D0" w14:textId="77777777" w:rsidR="00F26FDF" w:rsidRPr="00377AAE" w:rsidRDefault="00F26FDF" w:rsidP="00694000">
      <w:pPr>
        <w:rPr>
          <w:rFonts w:hint="eastAsia"/>
        </w:rPr>
      </w:pPr>
      <w:bookmarkStart w:id="0" w:name="_GoBack"/>
      <w:bookmarkEnd w:id="0"/>
    </w:p>
    <w:sectPr w:rsidR="00F26FDF" w:rsidRPr="00377AA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3F0"/>
    <w:rsid w:val="00085918"/>
    <w:rsid w:val="000C1376"/>
    <w:rsid w:val="000D3F70"/>
    <w:rsid w:val="001C3377"/>
    <w:rsid w:val="00230B6E"/>
    <w:rsid w:val="002E7FE6"/>
    <w:rsid w:val="00323EF3"/>
    <w:rsid w:val="0033125A"/>
    <w:rsid w:val="00377AAE"/>
    <w:rsid w:val="004E2841"/>
    <w:rsid w:val="005B65F7"/>
    <w:rsid w:val="00694000"/>
    <w:rsid w:val="006B3594"/>
    <w:rsid w:val="00790EA5"/>
    <w:rsid w:val="007973F0"/>
    <w:rsid w:val="00926AC0"/>
    <w:rsid w:val="00941EC3"/>
    <w:rsid w:val="00985B24"/>
    <w:rsid w:val="00986B9C"/>
    <w:rsid w:val="00A356F5"/>
    <w:rsid w:val="00AD2946"/>
    <w:rsid w:val="00B14011"/>
    <w:rsid w:val="00BE6545"/>
    <w:rsid w:val="00C158E7"/>
    <w:rsid w:val="00CE5BA1"/>
    <w:rsid w:val="00D03F08"/>
    <w:rsid w:val="00D3697D"/>
    <w:rsid w:val="00DF1CEE"/>
    <w:rsid w:val="00F11BA1"/>
    <w:rsid w:val="00F26FDF"/>
    <w:rsid w:val="00FC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D2915"/>
  <w15:chartTrackingRefBased/>
  <w15:docId w15:val="{4DCB95AF-23D7-441D-9FFC-254CC87E9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DF1CEE"/>
    <w:rPr>
      <w:color w:val="0563C1" w:themeColor="hyperlink"/>
      <w:u w:val="single"/>
    </w:rPr>
  </w:style>
  <w:style w:type="character" w:styleId="a4">
    <w:name w:val="Unresolved Mention"/>
    <w:basedOn w:val="a0"/>
    <w:uiPriority w:val="99"/>
    <w:semiHidden/>
    <w:unhideWhenUsed/>
    <w:rsid w:val="00DF1CEE"/>
    <w:rPr>
      <w:color w:val="605E5C"/>
      <w:shd w:val="clear" w:color="auto" w:fill="E1DFDD"/>
    </w:rPr>
  </w:style>
  <w:style w:type="character" w:styleId="a5">
    <w:name w:val="Placeholder Text"/>
    <w:basedOn w:val="a0"/>
    <w:uiPriority w:val="99"/>
    <w:semiHidden/>
    <w:rsid w:val="00377AA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587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chart" Target="charts/chart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ocean.ices.dk/iroc/"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worldweather.wmo.int/en/city.html?cityId=730"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8.jpeg"/></Relationships>
</file>

<file path=word/charts/_rels/chart1.xml.rels><?xml version="1.0" encoding="UTF-8" standalone="yes"?>
<Relationships xmlns="http://schemas.openxmlformats.org/package/2006/relationships"><Relationship Id="rId3" Type="http://schemas.openxmlformats.org/officeDocument/2006/relationships/oleObject" Target="file:///E:\meisai\Charts\&#19981;&#21516;&#39044;&#27979;&#26041;&#27861;&#24471;&#21040;&#30340;&#28023;&#27700;&#34920;&#38754;&#28201;&#24230;&#25968;&#2545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Methods Comparison</a:t>
            </a:r>
            <a:endParaRPr lang="zh-CN" altLang="en-US"/>
          </a:p>
        </c:rich>
      </c:tx>
      <c:layout>
        <c:manualLayout>
          <c:xMode val="edge"/>
          <c:yMode val="edge"/>
          <c:x val="0.3680094647451515"/>
          <c:y val="2.247198478667051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smoothMarker"/>
        <c:varyColors val="0"/>
        <c:ser>
          <c:idx val="0"/>
          <c:order val="0"/>
          <c:tx>
            <c:strRef>
              <c:f>'Sheet 1'!$B$1</c:f>
              <c:strCache>
                <c:ptCount val="1"/>
                <c:pt idx="0">
                  <c:v>Grey</c:v>
                </c:pt>
              </c:strCache>
            </c:strRef>
          </c:tx>
          <c:spPr>
            <a:ln w="19050" cap="rnd">
              <a:solidFill>
                <a:schemeClr val="accent1"/>
              </a:solidFill>
              <a:round/>
            </a:ln>
            <a:effectLst/>
          </c:spPr>
          <c:marker>
            <c:symbol val="none"/>
          </c:marker>
          <c:trendline>
            <c:name>Grey Trend Line</c:name>
            <c:spPr>
              <a:ln w="19050" cap="rnd">
                <a:solidFill>
                  <a:schemeClr val="accent1"/>
                </a:solidFill>
                <a:prstDash val="sysDot"/>
              </a:ln>
              <a:effectLst/>
            </c:spPr>
            <c:trendlineType val="linear"/>
            <c:dispRSqr val="0"/>
            <c:dispEq val="1"/>
            <c:trendlineLbl>
              <c:layout>
                <c:manualLayout>
                  <c:x val="-1.7240549000722371E-2"/>
                  <c:y val="3.4833268131911288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1'!$B$2:$B$51</c:f>
              <c:numCache>
                <c:formatCode>General</c:formatCode>
                <c:ptCount val="50"/>
                <c:pt idx="0">
                  <c:v>10.7795032849438</c:v>
                </c:pt>
                <c:pt idx="1">
                  <c:v>10.7812085592013</c:v>
                </c:pt>
                <c:pt idx="2">
                  <c:v>10.782914103261</c:v>
                </c:pt>
                <c:pt idx="3">
                  <c:v>10.784619917103599</c:v>
                </c:pt>
                <c:pt idx="4">
                  <c:v>10.786326000816199</c:v>
                </c:pt>
                <c:pt idx="5">
                  <c:v>10.7880323544183</c:v>
                </c:pt>
                <c:pt idx="6">
                  <c:v>10.789738977948801</c:v>
                </c:pt>
                <c:pt idx="7">
                  <c:v>10.7914458714658</c:v>
                </c:pt>
                <c:pt idx="8">
                  <c:v>10.7931530350179</c:v>
                </c:pt>
                <c:pt idx="9">
                  <c:v>10.7948604686244</c:v>
                </c:pt>
                <c:pt idx="10">
                  <c:v>10.7965681723435</c:v>
                </c:pt>
                <c:pt idx="11">
                  <c:v>10.7982761462141</c:v>
                </c:pt>
                <c:pt idx="12">
                  <c:v>10.799984390275</c:v>
                </c:pt>
                <c:pt idx="13">
                  <c:v>10.801692904594001</c:v>
                </c:pt>
                <c:pt idx="14">
                  <c:v>10.8034016891615</c:v>
                </c:pt>
                <c:pt idx="15">
                  <c:v>10.805110744074501</c:v>
                </c:pt>
                <c:pt idx="16">
                  <c:v>10.806820069352399</c:v>
                </c:pt>
                <c:pt idx="17">
                  <c:v>10.8085296650146</c:v>
                </c:pt>
                <c:pt idx="18">
                  <c:v>10.810239531158</c:v>
                </c:pt>
                <c:pt idx="19">
                  <c:v>10.811949667792501</c:v>
                </c:pt>
                <c:pt idx="20">
                  <c:v>10.813660074927601</c:v>
                </c:pt>
                <c:pt idx="21">
                  <c:v>10.815370752689599</c:v>
                </c:pt>
                <c:pt idx="22">
                  <c:v>10.817081701058999</c:v>
                </c:pt>
                <c:pt idx="23">
                  <c:v>10.8187929200746</c:v>
                </c:pt>
                <c:pt idx="24">
                  <c:v>10.8205044098043</c:v>
                </c:pt>
                <c:pt idx="25">
                  <c:v>10.822216170306399</c:v>
                </c:pt>
                <c:pt idx="26">
                  <c:v>10.8239282016002</c:v>
                </c:pt>
                <c:pt idx="27">
                  <c:v>10.825640503695499</c:v>
                </c:pt>
                <c:pt idx="28">
                  <c:v>10.8273530766989</c:v>
                </c:pt>
                <c:pt idx="29">
                  <c:v>10.829065920620099</c:v>
                </c:pt>
                <c:pt idx="30">
                  <c:v>10.830779035507801</c:v>
                </c:pt>
                <c:pt idx="31">
                  <c:v>10.832492421390899</c:v>
                </c:pt>
                <c:pt idx="32">
                  <c:v>10.834206078347099</c:v>
                </c:pt>
                <c:pt idx="33">
                  <c:v>10.8359200063763</c:v>
                </c:pt>
                <c:pt idx="34">
                  <c:v>10.837634205556199</c:v>
                </c:pt>
                <c:pt idx="35">
                  <c:v>10.839348675906299</c:v>
                </c:pt>
                <c:pt idx="36">
                  <c:v>10.841063417474899</c:v>
                </c:pt>
                <c:pt idx="37">
                  <c:v>10.84277843033</c:v>
                </c:pt>
                <c:pt idx="38">
                  <c:v>10.844493714462001</c:v>
                </c:pt>
                <c:pt idx="39">
                  <c:v>10.8462092699677</c:v>
                </c:pt>
                <c:pt idx="40">
                  <c:v>10.8479250968667</c:v>
                </c:pt>
                <c:pt idx="41">
                  <c:v>10.8496411951977</c:v>
                </c:pt>
                <c:pt idx="42">
                  <c:v>10.8513575649995</c:v>
                </c:pt>
                <c:pt idx="43">
                  <c:v>10.853074206349801</c:v>
                </c:pt>
                <c:pt idx="44">
                  <c:v>10.854791119229001</c:v>
                </c:pt>
                <c:pt idx="45">
                  <c:v>10.8565083037635</c:v>
                </c:pt>
                <c:pt idx="46">
                  <c:v>10.8582257598949</c:v>
                </c:pt>
                <c:pt idx="47">
                  <c:v>10.859943487768801</c:v>
                </c:pt>
                <c:pt idx="48">
                  <c:v>10.861661487356001</c:v>
                </c:pt>
                <c:pt idx="49">
                  <c:v>10.863379758734199</c:v>
                </c:pt>
              </c:numCache>
            </c:numRef>
          </c:yVal>
          <c:smooth val="1"/>
          <c:extLst>
            <c:ext xmlns:c16="http://schemas.microsoft.com/office/drawing/2014/chart" uri="{C3380CC4-5D6E-409C-BE32-E72D297353CC}">
              <c16:uniqueId val="{00000000-6233-4966-AD94-4444091A54F7}"/>
            </c:ext>
          </c:extLst>
        </c:ser>
        <c:ser>
          <c:idx val="1"/>
          <c:order val="1"/>
          <c:tx>
            <c:strRef>
              <c:f>'Sheet 1'!$C$1</c:f>
              <c:strCache>
                <c:ptCount val="1"/>
                <c:pt idx="0">
                  <c:v>VAR</c:v>
                </c:pt>
              </c:strCache>
            </c:strRef>
          </c:tx>
          <c:spPr>
            <a:ln w="19050" cap="rnd">
              <a:solidFill>
                <a:schemeClr val="accent2"/>
              </a:solidFill>
              <a:round/>
            </a:ln>
            <a:effectLst/>
          </c:spPr>
          <c:marker>
            <c:symbol val="none"/>
          </c:marker>
          <c:trendline>
            <c:name>VAR Trend Line</c:name>
            <c:spPr>
              <a:ln w="19050" cap="rnd">
                <a:solidFill>
                  <a:schemeClr val="accent2"/>
                </a:solidFill>
                <a:prstDash val="sysDot"/>
              </a:ln>
              <a:effectLst/>
            </c:spPr>
            <c:trendlineType val="linear"/>
            <c:dispRSqr val="0"/>
            <c:dispEq val="1"/>
            <c:trendlineLbl>
              <c:layout>
                <c:manualLayout>
                  <c:x val="2.022634240308299E-3"/>
                  <c:y val="4.0898963977095422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1'!$C$2:$C$51</c:f>
              <c:numCache>
                <c:formatCode>General</c:formatCode>
                <c:ptCount val="50"/>
                <c:pt idx="0">
                  <c:v>11.173080000000001</c:v>
                </c:pt>
                <c:pt idx="1">
                  <c:v>11.19999</c:v>
                </c:pt>
                <c:pt idx="2">
                  <c:v>11.404730000000001</c:v>
                </c:pt>
                <c:pt idx="3">
                  <c:v>11.391859999999999</c:v>
                </c:pt>
                <c:pt idx="4">
                  <c:v>11.149850000000001</c:v>
                </c:pt>
                <c:pt idx="5">
                  <c:v>11.33155</c:v>
                </c:pt>
                <c:pt idx="6">
                  <c:v>11.242760000000001</c:v>
                </c:pt>
                <c:pt idx="7">
                  <c:v>11.224500000000001</c:v>
                </c:pt>
                <c:pt idx="8">
                  <c:v>11.22011</c:v>
                </c:pt>
                <c:pt idx="9">
                  <c:v>11.221539999999999</c:v>
                </c:pt>
                <c:pt idx="10">
                  <c:v>11.20036</c:v>
                </c:pt>
                <c:pt idx="11">
                  <c:v>11.15507</c:v>
                </c:pt>
                <c:pt idx="12">
                  <c:v>11.21893</c:v>
                </c:pt>
                <c:pt idx="13">
                  <c:v>11.22157</c:v>
                </c:pt>
                <c:pt idx="14">
                  <c:v>11.243499999999999</c:v>
                </c:pt>
                <c:pt idx="15">
                  <c:v>11.272410000000001</c:v>
                </c:pt>
                <c:pt idx="16">
                  <c:v>11.31114</c:v>
                </c:pt>
                <c:pt idx="17">
                  <c:v>11.308339999999999</c:v>
                </c:pt>
                <c:pt idx="18">
                  <c:v>11.336539999999999</c:v>
                </c:pt>
                <c:pt idx="19">
                  <c:v>11.38172</c:v>
                </c:pt>
                <c:pt idx="20">
                  <c:v>11.37466</c:v>
                </c:pt>
                <c:pt idx="21">
                  <c:v>11.42027</c:v>
                </c:pt>
                <c:pt idx="22">
                  <c:v>11.449350000000001</c:v>
                </c:pt>
                <c:pt idx="23">
                  <c:v>11.439769999999999</c:v>
                </c:pt>
                <c:pt idx="24">
                  <c:v>11.444750000000001</c:v>
                </c:pt>
                <c:pt idx="25">
                  <c:v>11.46692</c:v>
                </c:pt>
                <c:pt idx="26">
                  <c:v>11.497109999999999</c:v>
                </c:pt>
                <c:pt idx="27">
                  <c:v>11.499879999999999</c:v>
                </c:pt>
                <c:pt idx="28">
                  <c:v>11.52167</c:v>
                </c:pt>
                <c:pt idx="29">
                  <c:v>11.54712</c:v>
                </c:pt>
                <c:pt idx="30">
                  <c:v>11.544230000000001</c:v>
                </c:pt>
                <c:pt idx="31">
                  <c:v>11.564500000000001</c:v>
                </c:pt>
                <c:pt idx="32">
                  <c:v>11.58779</c:v>
                </c:pt>
                <c:pt idx="33">
                  <c:v>11.614089999999999</c:v>
                </c:pt>
                <c:pt idx="34">
                  <c:v>11.63456</c:v>
                </c:pt>
                <c:pt idx="35">
                  <c:v>11.64691</c:v>
                </c:pt>
                <c:pt idx="36">
                  <c:v>11.66151</c:v>
                </c:pt>
                <c:pt idx="37">
                  <c:v>11.663880000000001</c:v>
                </c:pt>
                <c:pt idx="38">
                  <c:v>11.68538</c:v>
                </c:pt>
                <c:pt idx="39">
                  <c:v>11.701079999999999</c:v>
                </c:pt>
                <c:pt idx="40">
                  <c:v>11.701829999999999</c:v>
                </c:pt>
                <c:pt idx="41">
                  <c:v>11.710990000000001</c:v>
                </c:pt>
                <c:pt idx="42">
                  <c:v>11.714829999999999</c:v>
                </c:pt>
                <c:pt idx="43">
                  <c:v>11.715389999999999</c:v>
                </c:pt>
                <c:pt idx="44">
                  <c:v>11.7194</c:v>
                </c:pt>
                <c:pt idx="45">
                  <c:v>11.72936</c:v>
                </c:pt>
                <c:pt idx="46">
                  <c:v>11.734970000000001</c:v>
                </c:pt>
                <c:pt idx="47">
                  <c:v>11.733840000000001</c:v>
                </c:pt>
                <c:pt idx="48">
                  <c:v>11.73471</c:v>
                </c:pt>
                <c:pt idx="49">
                  <c:v>11.73456</c:v>
                </c:pt>
              </c:numCache>
            </c:numRef>
          </c:yVal>
          <c:smooth val="1"/>
          <c:extLst>
            <c:ext xmlns:c16="http://schemas.microsoft.com/office/drawing/2014/chart" uri="{C3380CC4-5D6E-409C-BE32-E72D297353CC}">
              <c16:uniqueId val="{00000002-6233-4966-AD94-4444091A54F7}"/>
            </c:ext>
          </c:extLst>
        </c:ser>
        <c:ser>
          <c:idx val="2"/>
          <c:order val="2"/>
          <c:tx>
            <c:strRef>
              <c:f>'Sheet 1'!$D$1</c:f>
              <c:strCache>
                <c:ptCount val="1"/>
                <c:pt idx="0">
                  <c:v>RCP3-PD</c:v>
                </c:pt>
              </c:strCache>
            </c:strRef>
          </c:tx>
          <c:spPr>
            <a:ln w="19050" cap="rnd">
              <a:solidFill>
                <a:schemeClr val="accent3"/>
              </a:solidFill>
              <a:round/>
            </a:ln>
            <a:effectLst/>
          </c:spPr>
          <c:marker>
            <c:symbol val="none"/>
          </c:marker>
          <c:trendline>
            <c:name>RCP3-PD Trend Line</c:name>
            <c:spPr>
              <a:ln w="19050" cap="rnd">
                <a:solidFill>
                  <a:schemeClr val="accent3"/>
                </a:solidFill>
                <a:prstDash val="sysDot"/>
              </a:ln>
              <a:effectLst/>
            </c:spPr>
            <c:trendlineType val="linear"/>
            <c:dispRSqr val="0"/>
            <c:dispEq val="1"/>
            <c:trendlineLbl>
              <c:layout>
                <c:manualLayout>
                  <c:x val="-0.2652540332289911"/>
                  <c:y val="5.2800766104121891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1'!$D$2:$D$51</c:f>
              <c:numCache>
                <c:formatCode>General</c:formatCode>
                <c:ptCount val="50"/>
                <c:pt idx="0">
                  <c:v>12.472680378344601</c:v>
                </c:pt>
                <c:pt idx="1">
                  <c:v>12.497449393956799</c:v>
                </c:pt>
                <c:pt idx="2">
                  <c:v>12.5221933813897</c:v>
                </c:pt>
                <c:pt idx="3">
                  <c:v>12.546847225721899</c:v>
                </c:pt>
                <c:pt idx="4">
                  <c:v>12.5707645939938</c:v>
                </c:pt>
                <c:pt idx="5">
                  <c:v>12.5935191507804</c:v>
                </c:pt>
                <c:pt idx="6">
                  <c:v>12.6152887221083</c:v>
                </c:pt>
                <c:pt idx="7">
                  <c:v>12.636127308146801</c:v>
                </c:pt>
                <c:pt idx="8">
                  <c:v>12.6560628375438</c:v>
                </c:pt>
                <c:pt idx="9">
                  <c:v>12.675046396189</c:v>
                </c:pt>
                <c:pt idx="10">
                  <c:v>12.6930033597398</c:v>
                </c:pt>
                <c:pt idx="11">
                  <c:v>12.7099122310072</c:v>
                </c:pt>
                <c:pt idx="12">
                  <c:v>12.7257945702624</c:v>
                </c:pt>
                <c:pt idx="13">
                  <c:v>12.7406851226411</c:v>
                </c:pt>
                <c:pt idx="14">
                  <c:v>12.7543771839008</c:v>
                </c:pt>
                <c:pt idx="15">
                  <c:v>12.7667747026616</c:v>
                </c:pt>
                <c:pt idx="16">
                  <c:v>12.778101153985499</c:v>
                </c:pt>
                <c:pt idx="17">
                  <c:v>12.7884797285055</c:v>
                </c:pt>
                <c:pt idx="18">
                  <c:v>12.7979528856672</c:v>
                </c:pt>
                <c:pt idx="19">
                  <c:v>12.806528277765199</c:v>
                </c:pt>
                <c:pt idx="20">
                  <c:v>12.814136963464</c:v>
                </c:pt>
                <c:pt idx="21">
                  <c:v>12.8206843289387</c:v>
                </c:pt>
                <c:pt idx="22">
                  <c:v>12.8261331496398</c:v>
                </c:pt>
                <c:pt idx="23">
                  <c:v>12.830496174723599</c:v>
                </c:pt>
                <c:pt idx="24">
                  <c:v>12.834135486111601</c:v>
                </c:pt>
                <c:pt idx="25">
                  <c:v>12.837283581908901</c:v>
                </c:pt>
                <c:pt idx="26">
                  <c:v>12.8399301438274</c:v>
                </c:pt>
                <c:pt idx="27">
                  <c:v>12.8422564867577</c:v>
                </c:pt>
                <c:pt idx="28">
                  <c:v>12.8443534245169</c:v>
                </c:pt>
                <c:pt idx="29">
                  <c:v>12.846233545021301</c:v>
                </c:pt>
                <c:pt idx="30">
                  <c:v>12.847875950163401</c:v>
                </c:pt>
                <c:pt idx="31">
                  <c:v>12.849183833575299</c:v>
                </c:pt>
                <c:pt idx="32">
                  <c:v>12.850036149688</c:v>
                </c:pt>
                <c:pt idx="33">
                  <c:v>12.8503753113103</c:v>
                </c:pt>
                <c:pt idx="34">
                  <c:v>12.8502626465544</c:v>
                </c:pt>
                <c:pt idx="35">
                  <c:v>12.849762586834199</c:v>
                </c:pt>
                <c:pt idx="36">
                  <c:v>12.8487771044128</c:v>
                </c:pt>
                <c:pt idx="37">
                  <c:v>12.847320420010799</c:v>
                </c:pt>
                <c:pt idx="38">
                  <c:v>12.845584454744399</c:v>
                </c:pt>
                <c:pt idx="39">
                  <c:v>12.843675052018501</c:v>
                </c:pt>
                <c:pt idx="40">
                  <c:v>12.841613922007999</c:v>
                </c:pt>
                <c:pt idx="41">
                  <c:v>12.8393871324635</c:v>
                </c:pt>
                <c:pt idx="42">
                  <c:v>12.836901577800001</c:v>
                </c:pt>
                <c:pt idx="43">
                  <c:v>12.8340374208812</c:v>
                </c:pt>
                <c:pt idx="44">
                  <c:v>12.8307203583709</c:v>
                </c:pt>
                <c:pt idx="45">
                  <c:v>12.826932503967599</c:v>
                </c:pt>
                <c:pt idx="46">
                  <c:v>12.822687629214</c:v>
                </c:pt>
                <c:pt idx="47">
                  <c:v>12.817907084904499</c:v>
                </c:pt>
                <c:pt idx="48">
                  <c:v>12.8126187371382</c:v>
                </c:pt>
                <c:pt idx="49">
                  <c:v>12.8070272179118</c:v>
                </c:pt>
              </c:numCache>
            </c:numRef>
          </c:yVal>
          <c:smooth val="1"/>
          <c:extLst>
            <c:ext xmlns:c16="http://schemas.microsoft.com/office/drawing/2014/chart" uri="{C3380CC4-5D6E-409C-BE32-E72D297353CC}">
              <c16:uniqueId val="{00000004-6233-4966-AD94-4444091A54F7}"/>
            </c:ext>
          </c:extLst>
        </c:ser>
        <c:ser>
          <c:idx val="3"/>
          <c:order val="3"/>
          <c:tx>
            <c:strRef>
              <c:f>'Sheet 1'!$E$1</c:f>
              <c:strCache>
                <c:ptCount val="1"/>
                <c:pt idx="0">
                  <c:v>RCP45</c:v>
                </c:pt>
              </c:strCache>
            </c:strRef>
          </c:tx>
          <c:spPr>
            <a:ln w="19050" cap="rnd">
              <a:solidFill>
                <a:schemeClr val="accent4"/>
              </a:solidFill>
              <a:round/>
            </a:ln>
            <a:effectLst/>
          </c:spPr>
          <c:marker>
            <c:symbol val="none"/>
          </c:marker>
          <c:trendline>
            <c:name>RCP45 Trend Line</c:name>
            <c:spPr>
              <a:ln w="19050" cap="rnd">
                <a:solidFill>
                  <a:schemeClr val="accent4"/>
                </a:solidFill>
                <a:prstDash val="sysDot"/>
              </a:ln>
              <a:effectLst/>
            </c:spPr>
            <c:trendlineType val="linear"/>
            <c:dispRSqr val="0"/>
            <c:dispEq val="1"/>
            <c:trendlineLbl>
              <c:layout>
                <c:manualLayout>
                  <c:x val="1.6470021671081147E-2"/>
                  <c:y val="-1.7287489936575882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1'!$E$2:$E$51</c:f>
              <c:numCache>
                <c:formatCode>General</c:formatCode>
                <c:ptCount val="50"/>
                <c:pt idx="0">
                  <c:v>12.4621410256331</c:v>
                </c:pt>
                <c:pt idx="1">
                  <c:v>12.4863746302669</c:v>
                </c:pt>
                <c:pt idx="2">
                  <c:v>12.510698396154799</c:v>
                </c:pt>
                <c:pt idx="3">
                  <c:v>12.5350470827444</c:v>
                </c:pt>
                <c:pt idx="4">
                  <c:v>12.5595294345593</c:v>
                </c:pt>
                <c:pt idx="5">
                  <c:v>12.584399706282399</c:v>
                </c:pt>
                <c:pt idx="6">
                  <c:v>12.6097442743658</c:v>
                </c:pt>
                <c:pt idx="7">
                  <c:v>12.635576261658301</c:v>
                </c:pt>
                <c:pt idx="8">
                  <c:v>12.6618775228676</c:v>
                </c:pt>
                <c:pt idx="9">
                  <c:v>12.6885612577034</c:v>
                </c:pt>
                <c:pt idx="10">
                  <c:v>12.7155201403936</c:v>
                </c:pt>
                <c:pt idx="11">
                  <c:v>12.742703698442201</c:v>
                </c:pt>
                <c:pt idx="12">
                  <c:v>12.7701077942914</c:v>
                </c:pt>
                <c:pt idx="13">
                  <c:v>12.797739606251801</c:v>
                </c:pt>
                <c:pt idx="14">
                  <c:v>12.8253688165033</c:v>
                </c:pt>
                <c:pt idx="15">
                  <c:v>12.8528941426391</c:v>
                </c:pt>
                <c:pt idx="16">
                  <c:v>12.8805362427572</c:v>
                </c:pt>
                <c:pt idx="17">
                  <c:v>12.908407365315099</c:v>
                </c:pt>
                <c:pt idx="18">
                  <c:v>12.936539276711001</c:v>
                </c:pt>
                <c:pt idx="19">
                  <c:v>12.9649268800828</c:v>
                </c:pt>
                <c:pt idx="20">
                  <c:v>12.993489045744299</c:v>
                </c:pt>
                <c:pt idx="21">
                  <c:v>13.022118622633201</c:v>
                </c:pt>
                <c:pt idx="22">
                  <c:v>13.050764976480099</c:v>
                </c:pt>
                <c:pt idx="23">
                  <c:v>13.079423907711799</c:v>
                </c:pt>
                <c:pt idx="24">
                  <c:v>13.1079485841109</c:v>
                </c:pt>
                <c:pt idx="25">
                  <c:v>13.136111467612199</c:v>
                </c:pt>
                <c:pt idx="26">
                  <c:v>13.1639604262001</c:v>
                </c:pt>
                <c:pt idx="27">
                  <c:v>13.1917140122512</c:v>
                </c:pt>
                <c:pt idx="28">
                  <c:v>13.219493970707401</c:v>
                </c:pt>
                <c:pt idx="29">
                  <c:v>13.2473374770393</c:v>
                </c:pt>
                <c:pt idx="30">
                  <c:v>13.275244095539</c:v>
                </c:pt>
                <c:pt idx="31">
                  <c:v>13.3031314255386</c:v>
                </c:pt>
                <c:pt idx="32">
                  <c:v>13.330887306469201</c:v>
                </c:pt>
                <c:pt idx="33">
                  <c:v>13.358459733321601</c:v>
                </c:pt>
                <c:pt idx="34">
                  <c:v>13.3854828629858</c:v>
                </c:pt>
                <c:pt idx="35">
                  <c:v>13.411629398561599</c:v>
                </c:pt>
                <c:pt idx="36">
                  <c:v>13.4368371283797</c:v>
                </c:pt>
                <c:pt idx="37">
                  <c:v>13.461144212554601</c:v>
                </c:pt>
                <c:pt idx="38">
                  <c:v>13.4847864390631</c:v>
                </c:pt>
                <c:pt idx="39">
                  <c:v>13.5079011432406</c:v>
                </c:pt>
                <c:pt idx="40">
                  <c:v>13.530537015941899</c:v>
                </c:pt>
                <c:pt idx="41">
                  <c:v>13.552703304523099</c:v>
                </c:pt>
                <c:pt idx="42">
                  <c:v>13.574322531002</c:v>
                </c:pt>
                <c:pt idx="43">
                  <c:v>13.595281899052001</c:v>
                </c:pt>
                <c:pt idx="44">
                  <c:v>13.615357743298</c:v>
                </c:pt>
                <c:pt idx="45">
                  <c:v>13.634391576368699</c:v>
                </c:pt>
                <c:pt idx="46">
                  <c:v>13.6524117879594</c:v>
                </c:pt>
                <c:pt idx="47">
                  <c:v>13.669329372300499</c:v>
                </c:pt>
                <c:pt idx="48">
                  <c:v>13.685175211437601</c:v>
                </c:pt>
                <c:pt idx="49">
                  <c:v>13.7001859906368</c:v>
                </c:pt>
              </c:numCache>
            </c:numRef>
          </c:yVal>
          <c:smooth val="1"/>
          <c:extLst>
            <c:ext xmlns:c16="http://schemas.microsoft.com/office/drawing/2014/chart" uri="{C3380CC4-5D6E-409C-BE32-E72D297353CC}">
              <c16:uniqueId val="{00000006-6233-4966-AD94-4444091A54F7}"/>
            </c:ext>
          </c:extLst>
        </c:ser>
        <c:ser>
          <c:idx val="4"/>
          <c:order val="4"/>
          <c:tx>
            <c:strRef>
              <c:f>'Sheet 1'!$F$1</c:f>
              <c:strCache>
                <c:ptCount val="1"/>
                <c:pt idx="0">
                  <c:v>RCP85</c:v>
                </c:pt>
              </c:strCache>
            </c:strRef>
          </c:tx>
          <c:spPr>
            <a:ln w="19050" cap="rnd">
              <a:solidFill>
                <a:schemeClr val="accent5"/>
              </a:solidFill>
              <a:round/>
            </a:ln>
            <a:effectLst/>
          </c:spPr>
          <c:marker>
            <c:symbol val="none"/>
          </c:marker>
          <c:trendline>
            <c:name>RCP85 Trend Line</c:name>
            <c:spPr>
              <a:ln w="19050" cap="rnd">
                <a:solidFill>
                  <a:schemeClr val="accent5"/>
                </a:solidFill>
                <a:prstDash val="sysDot"/>
              </a:ln>
              <a:effectLst/>
            </c:spPr>
            <c:trendlineType val="linear"/>
            <c:dispRSqr val="0"/>
            <c:dispEq val="1"/>
            <c:trendlineLbl>
              <c:layout>
                <c:manualLayout>
                  <c:x val="-7.984589453407176E-2"/>
                  <c:y val="-3.9527468427658898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1'!$F$2:$F$51</c:f>
              <c:numCache>
                <c:formatCode>General</c:formatCode>
                <c:ptCount val="50"/>
                <c:pt idx="0">
                  <c:v>12.497637758674699</c:v>
                </c:pt>
                <c:pt idx="1">
                  <c:v>12.5289580597445</c:v>
                </c:pt>
                <c:pt idx="2">
                  <c:v>12.560971669774901</c:v>
                </c:pt>
                <c:pt idx="3">
                  <c:v>12.5936019940691</c:v>
                </c:pt>
                <c:pt idx="4">
                  <c:v>12.6267918181974</c:v>
                </c:pt>
                <c:pt idx="5">
                  <c:v>12.6606577278269</c:v>
                </c:pt>
                <c:pt idx="6">
                  <c:v>12.695313826941099</c:v>
                </c:pt>
                <c:pt idx="7">
                  <c:v>12.7307871452992</c:v>
                </c:pt>
                <c:pt idx="8">
                  <c:v>12.7670704037658</c:v>
                </c:pt>
                <c:pt idx="9">
                  <c:v>12.804083468634699</c:v>
                </c:pt>
                <c:pt idx="10">
                  <c:v>12.8417251695247</c:v>
                </c:pt>
                <c:pt idx="11">
                  <c:v>12.8799501426712</c:v>
                </c:pt>
                <c:pt idx="12">
                  <c:v>12.918760144376</c:v>
                </c:pt>
                <c:pt idx="13">
                  <c:v>12.9581642214124</c:v>
                </c:pt>
                <c:pt idx="14">
                  <c:v>12.998273613321301</c:v>
                </c:pt>
                <c:pt idx="15">
                  <c:v>13.039300143346299</c:v>
                </c:pt>
                <c:pt idx="16">
                  <c:v>13.081437811919001</c:v>
                </c:pt>
                <c:pt idx="17">
                  <c:v>13.124793794374099</c:v>
                </c:pt>
                <c:pt idx="18">
                  <c:v>13.169388814642801</c:v>
                </c:pt>
                <c:pt idx="19">
                  <c:v>13.2152144973182</c:v>
                </c:pt>
                <c:pt idx="20">
                  <c:v>13.262184240559501</c:v>
                </c:pt>
                <c:pt idx="21">
                  <c:v>13.310185022651201</c:v>
                </c:pt>
                <c:pt idx="22">
                  <c:v>13.3591646628077</c:v>
                </c:pt>
                <c:pt idx="23">
                  <c:v>13.409120306322301</c:v>
                </c:pt>
                <c:pt idx="24">
                  <c:v>13.4601902174328</c:v>
                </c:pt>
                <c:pt idx="25">
                  <c:v>13.512404212993699</c:v>
                </c:pt>
                <c:pt idx="26">
                  <c:v>13.565769644958699</c:v>
                </c:pt>
                <c:pt idx="27">
                  <c:v>13.6204799405507</c:v>
                </c:pt>
                <c:pt idx="28">
                  <c:v>13.6766539900048</c:v>
                </c:pt>
                <c:pt idx="29">
                  <c:v>13.734336308342501</c:v>
                </c:pt>
                <c:pt idx="30">
                  <c:v>13.7935238170682</c:v>
                </c:pt>
                <c:pt idx="31">
                  <c:v>13.8541292796502</c:v>
                </c:pt>
                <c:pt idx="32">
                  <c:v>13.9160369080883</c:v>
                </c:pt>
                <c:pt idx="33">
                  <c:v>13.9791913444102</c:v>
                </c:pt>
                <c:pt idx="34">
                  <c:v>14.0435835942572</c:v>
                </c:pt>
                <c:pt idx="35">
                  <c:v>14.1092129507895</c:v>
                </c:pt>
                <c:pt idx="36">
                  <c:v>14.175969196852501</c:v>
                </c:pt>
                <c:pt idx="37">
                  <c:v>14.243875624212899</c:v>
                </c:pt>
                <c:pt idx="38">
                  <c:v>14.313162075776001</c:v>
                </c:pt>
                <c:pt idx="39">
                  <c:v>14.3839562156826</c:v>
                </c:pt>
                <c:pt idx="40">
                  <c:v>14.456312566631601</c:v>
                </c:pt>
                <c:pt idx="41">
                  <c:v>14.5302433789894</c:v>
                </c:pt>
                <c:pt idx="42">
                  <c:v>14.605661503579199</c:v>
                </c:pt>
                <c:pt idx="43">
                  <c:v>14.682448523083</c:v>
                </c:pt>
                <c:pt idx="44">
                  <c:v>14.7602755246021</c:v>
                </c:pt>
                <c:pt idx="45">
                  <c:v>14.8388852413763</c:v>
                </c:pt>
                <c:pt idx="46">
                  <c:v>14.9183111346233</c:v>
                </c:pt>
                <c:pt idx="47">
                  <c:v>14.998465033313501</c:v>
                </c:pt>
                <c:pt idx="48">
                  <c:v>15.0793653442708</c:v>
                </c:pt>
                <c:pt idx="49">
                  <c:v>15.1612034267391</c:v>
                </c:pt>
              </c:numCache>
            </c:numRef>
          </c:yVal>
          <c:smooth val="1"/>
          <c:extLst>
            <c:ext xmlns:c16="http://schemas.microsoft.com/office/drawing/2014/chart" uri="{C3380CC4-5D6E-409C-BE32-E72D297353CC}">
              <c16:uniqueId val="{00000008-6233-4966-AD94-4444091A54F7}"/>
            </c:ext>
          </c:extLst>
        </c:ser>
        <c:dLbls>
          <c:showLegendKey val="0"/>
          <c:showVal val="0"/>
          <c:showCatName val="0"/>
          <c:showSerName val="0"/>
          <c:showPercent val="0"/>
          <c:showBubbleSize val="0"/>
        </c:dLbls>
        <c:axId val="1589713823"/>
        <c:axId val="1368763807"/>
      </c:scatterChart>
      <c:valAx>
        <c:axId val="1589713823"/>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CN"/>
                  <a:t>Years/a</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68763807"/>
        <c:crosses val="autoZero"/>
        <c:crossBetween val="midCat"/>
      </c:valAx>
      <c:valAx>
        <c:axId val="1368763807"/>
        <c:scaling>
          <c:orientation val="minMax"/>
          <c:min val="1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CN">
                  <a:effectLst/>
                </a:endParaRPr>
              </a:p>
              <a:p>
                <a:pPr>
                  <a:defRPr/>
                </a:pPr>
                <a:r>
                  <a:rPr lang="en-US" altLang="zh-CN">
                    <a:effectLst/>
                  </a:rPr>
                  <a:t>Annual Average SST </a:t>
                </a:r>
              </a:p>
              <a:p>
                <a:pPr>
                  <a:defRPr/>
                </a:pPr>
                <a:r>
                  <a:rPr lang="en-US" altLang="zh-CN"/>
                  <a:t>/</a:t>
                </a:r>
                <a:r>
                  <a:rPr lang="zh-CN" altLang="en-US"/>
                  <a:t>℃</a:t>
                </a:r>
              </a:p>
            </c:rich>
          </c:tx>
          <c:layout>
            <c:manualLayout>
              <c:xMode val="edge"/>
              <c:yMode val="edge"/>
              <c:x val="2.6486876956417049E-2"/>
              <c:y val="0.2203078010606434"/>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58971382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321</TotalTime>
  <Pages>9</Pages>
  <Words>411</Words>
  <Characters>2349</Characters>
  <Application>Microsoft Office Word</Application>
  <DocSecurity>0</DocSecurity>
  <Lines>19</Lines>
  <Paragraphs>5</Paragraphs>
  <ScaleCrop>false</ScaleCrop>
  <Company/>
  <LinksUpToDate>false</LinksUpToDate>
  <CharactersWithSpaces>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snade jack</dc:creator>
  <cp:keywords/>
  <dc:description/>
  <cp:lastModifiedBy>snade jack</cp:lastModifiedBy>
  <cp:revision>11</cp:revision>
  <dcterms:created xsi:type="dcterms:W3CDTF">2020-02-16T12:12:00Z</dcterms:created>
  <dcterms:modified xsi:type="dcterms:W3CDTF">2020-02-16T17:46:00Z</dcterms:modified>
</cp:coreProperties>
</file>