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E625" w14:textId="52D7BFA0" w:rsidR="008C1AA0" w:rsidRPr="00384B43" w:rsidRDefault="008C1AA0" w:rsidP="01CA055A">
      <w:pPr>
        <w:rPr>
          <w:rFonts w:ascii="Arial" w:hAnsi="Arial" w:cs="Arial"/>
          <w:b/>
          <w:bCs/>
          <w:sz w:val="32"/>
          <w:szCs w:val="32"/>
        </w:rPr>
      </w:pPr>
      <w:r>
        <w:t>Lending - Approval to Funding</w:t>
      </w:r>
    </w:p>
    <w:p w14:paraId="0703C4B6" w14:textId="51F5ECD9" w:rsidR="008C1AA0" w:rsidRPr="008C1AA0" w:rsidRDefault="008C1AA0">
      <w:pPr>
        <w:rPr>
          <w:rFonts w:ascii="Arial" w:hAnsi="Arial" w:cs="Arial"/>
          <w:sz w:val="32"/>
          <w:szCs w:val="32"/>
        </w:rPr>
      </w:pPr>
      <w:r w:rsidRPr="00817814">
        <w:rPr>
          <w:rFonts w:ascii="Arial" w:hAnsi="Arial" w:cs="Arial"/>
          <w:sz w:val="32"/>
          <w:szCs w:val="32"/>
        </w:rPr>
        <w:t>Quarterly Business Review Memo</w:t>
      </w:r>
    </w:p>
    <w:tbl>
      <w:tblPr>
        <w:tblStyle w:val="TableGrid"/>
        <w:tblW w:w="0" w:type="auto"/>
        <w:tblLook w:val="04A0" w:firstRow="1" w:lastRow="0" w:firstColumn="1" w:lastColumn="0" w:noHBand="0" w:noVBand="1"/>
      </w:tblPr>
      <w:tblGrid>
        <w:gridCol w:w="5229"/>
        <w:gridCol w:w="5228"/>
      </w:tblGrid>
      <w:tr w:rsidR="00723799" w14:paraId="1FA28B6E" w14:textId="77777777" w:rsidTr="01CA055A">
        <w:tc>
          <w:tcPr>
            <w:tcW w:w="5229" w:type="dxa"/>
          </w:tcPr>
          <w:p w14:paraId="5A10F016" w14:textId="6ACE6185" w:rsidR="00723799" w:rsidRPr="00C763B5" w:rsidRDefault="008C1AA0" w:rsidP="005F5F6B">
            <w:pPr>
              <w:rPr>
                <w:rFonts w:ascii="Arial (Body)" w:eastAsia="Times New Roman" w:hAnsi="Arial (Body)" w:cs="Times New Roman"/>
                <w:b/>
                <w:bCs/>
                <w:noProof/>
                <w:sz w:val="28"/>
                <w:szCs w:val="28"/>
              </w:rPr>
            </w:pPr>
            <w:r>
              <w:t>Q3 FY26</w:t>
            </w:r>
          </w:p>
        </w:tc>
        <w:tc>
          <w:tcPr>
            <w:tcW w:w="5228" w:type="dxa"/>
          </w:tcPr>
          <w:p w14:paraId="56D7609F" w14:textId="68EECA55" w:rsidR="00723799" w:rsidRPr="008C1AA0" w:rsidRDefault="120505E0" w:rsidP="005F5F6B">
            <w:pPr>
              <w:rPr>
                <w:rFonts w:cs="Arial"/>
                <w:noProof/>
                <w:sz w:val="44"/>
                <w:szCs w:val="44"/>
              </w:rPr>
            </w:pPr>
            <w:r>
              <w:t>Domain Lead: Cameron Sucharda</w:t>
            </w:r>
          </w:p>
        </w:tc>
      </w:tr>
      <w:tr w:rsidR="00723799" w14:paraId="014339BB" w14:textId="77777777" w:rsidTr="01CA055A">
        <w:tc>
          <w:tcPr>
            <w:tcW w:w="5229" w:type="dxa"/>
          </w:tcPr>
          <w:p w14:paraId="39CBC25E" w14:textId="60A9786D" w:rsidR="00723799" w:rsidRPr="008C1AA0" w:rsidRDefault="008C1AA0" w:rsidP="005F5F6B">
            <w:pPr>
              <w:rPr>
                <w:rFonts w:eastAsia="Times New Roman" w:cs="Arial"/>
                <w:noProof/>
                <w:color w:val="FF0000"/>
                <w:sz w:val="28"/>
                <w:szCs w:val="28"/>
              </w:rPr>
            </w:pPr>
            <w:r>
              <w:t>Date: April 15, 2026</w:t>
            </w:r>
          </w:p>
        </w:tc>
        <w:tc>
          <w:tcPr>
            <w:tcW w:w="5228" w:type="dxa"/>
          </w:tcPr>
          <w:p w14:paraId="58EC6DF5" w14:textId="1D31BFFD" w:rsidR="00723799" w:rsidRPr="008C1AA0" w:rsidRDefault="00723799" w:rsidP="005F5F6B">
            <w:pPr>
              <w:rPr>
                <w:rFonts w:cs="Arial"/>
                <w:noProof/>
                <w:sz w:val="28"/>
                <w:szCs w:val="28"/>
              </w:rPr>
            </w:pPr>
          </w:p>
        </w:tc>
      </w:tr>
    </w:tbl>
    <w:p w14:paraId="0ACE962B" w14:textId="77777777" w:rsidR="00EE3FC3" w:rsidRDefault="00EE3FC3" w:rsidP="00103C60">
      <w:pPr>
        <w:pBdr>
          <w:bottom w:val="single" w:sz="6" w:space="1" w:color="8B1D41"/>
        </w:pBdr>
        <w:spacing w:after="180" w:line="264" w:lineRule="auto"/>
        <w:rPr>
          <w:rFonts w:ascii="Arial (Body)" w:eastAsia="Times New Roman" w:hAnsi="Arial (Body)" w:cs="Times New Roman"/>
          <w:szCs w:val="20"/>
          <w:lang w:val="en-US"/>
        </w:rPr>
      </w:pPr>
    </w:p>
    <w:tbl>
      <w:tblPr>
        <w:tblStyle w:val="TableGrid"/>
        <w:tblW w:w="5000" w:type="pct"/>
        <w:tblBorders>
          <w:top w:val="single" w:sz="4" w:space="0" w:color="8B1D41"/>
          <w:left w:val="single" w:sz="4" w:space="0" w:color="8B1D41"/>
          <w:bottom w:val="single" w:sz="4" w:space="0" w:color="8B1D41"/>
          <w:right w:val="single" w:sz="4" w:space="0" w:color="8B1D41"/>
          <w:insideH w:val="single" w:sz="4" w:space="0" w:color="8B1D41"/>
          <w:insideV w:val="single" w:sz="4" w:space="0" w:color="8B1D41"/>
        </w:tblBorders>
        <w:tblCellMar>
          <w:top w:w="28" w:type="dxa"/>
          <w:left w:w="28" w:type="dxa"/>
          <w:bottom w:w="28" w:type="dxa"/>
          <w:right w:w="28" w:type="dxa"/>
        </w:tblCellMar>
        <w:tblLook w:val="04A0" w:firstRow="1" w:lastRow="0" w:firstColumn="1" w:lastColumn="0" w:noHBand="0" w:noVBand="1"/>
      </w:tblPr>
      <w:tblGrid>
        <w:gridCol w:w="10457"/>
      </w:tblGrid>
      <w:tr w:rsidR="00A327ED" w:rsidRPr="008C0D2D" w14:paraId="1A6F1299" w14:textId="77777777" w:rsidTr="01CA055A">
        <w:tc>
          <w:tcPr>
            <w:tcW w:w="9061" w:type="dxa"/>
          </w:tcPr>
          <w:p w14:paraId="1BE0CEED" w14:textId="4D68C0EE" w:rsidR="00A327ED" w:rsidRPr="008C0D2D" w:rsidRDefault="00A327ED" w:rsidP="01CA055A">
            <w:pPr>
              <w:tabs>
                <w:tab w:val="left" w:pos="2800"/>
              </w:tabs>
              <w:spacing w:before="60" w:after="60" w:line="240" w:lineRule="auto"/>
              <w:rPr>
                <w:rFonts w:ascii="Arial (Body)" w:eastAsia="Times New Roman" w:hAnsi="Arial (Body)" w:cs="Times New Roman"/>
                <w:sz w:val="24"/>
                <w:szCs w:val="24"/>
              </w:rPr>
            </w:pPr>
            <w:r>
              <w:t xml:space="preserve">[Domain name]: Reduce friction and improve conversion from approval to funding while increasing customer self-service. </w:t>
            </w:r>
          </w:p>
        </w:tc>
      </w:tr>
    </w:tbl>
    <w:p w14:paraId="74F7E334" w14:textId="6E0D484C" w:rsidR="005F5F6B" w:rsidRPr="00E12FF7" w:rsidRDefault="005F5F6B" w:rsidP="008C0D2D">
      <w:pPr>
        <w:pStyle w:val="20MajorH1"/>
        <w:spacing w:before="240"/>
        <w:ind w:left="658" w:hanging="658"/>
        <w:rPr>
          <w:rFonts w:ascii="Arial" w:hAnsi="Arial" w:cs="Arial"/>
          <w:b w:val="0"/>
          <w:bCs/>
          <w:szCs w:val="32"/>
        </w:rPr>
      </w:pPr>
      <w:r w:rsidRPr="00E12FF7">
        <w:rPr>
          <w:rFonts w:ascii="Arial" w:hAnsi="Arial" w:cs="Arial"/>
          <w:szCs w:val="32"/>
          <w:lang w:val="en-GB"/>
        </w:rPr>
        <w:t>1.</w:t>
      </w:r>
      <w:r w:rsidR="00E017AC" w:rsidRPr="00E12FF7">
        <w:rPr>
          <w:rFonts w:ascii="Arial" w:hAnsi="Arial" w:cs="Arial"/>
          <w:szCs w:val="32"/>
          <w:lang w:val="en-GB"/>
        </w:rPr>
        <w:t>1</w:t>
      </w:r>
      <w:r w:rsidR="008C0D2D" w:rsidRPr="00E12FF7">
        <w:rPr>
          <w:rFonts w:ascii="Arial" w:hAnsi="Arial" w:cs="Arial"/>
          <w:szCs w:val="32"/>
          <w:lang w:val="en-GB"/>
        </w:rPr>
        <w:tab/>
      </w:r>
      <w:r w:rsidRPr="00E12FF7">
        <w:rPr>
          <w:rFonts w:ascii="Arial" w:hAnsi="Arial" w:cs="Arial"/>
          <w:szCs w:val="32"/>
          <w:lang w:val="en-GB"/>
        </w:rPr>
        <w:t xml:space="preserve">Executive summary: </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2334"/>
        <w:gridCol w:w="8123"/>
      </w:tblGrid>
      <w:tr w:rsidR="008D5F4C" w:rsidRPr="00E12FF7" w14:paraId="79EBA8AF" w14:textId="77777777" w:rsidTr="01CA055A">
        <w:trPr>
          <w:trHeight w:val="300"/>
        </w:trPr>
        <w:tc>
          <w:tcPr>
            <w:tcW w:w="1116" w:type="pct"/>
            <w:shd w:val="clear" w:color="auto" w:fill="8B1D41"/>
            <w:hideMark/>
          </w:tcPr>
          <w:p w14:paraId="4CC1D60B" w14:textId="36E4858E" w:rsidR="008D5F4C" w:rsidRPr="00E12FF7" w:rsidRDefault="008D5F4C" w:rsidP="003033A2">
            <w:pPr>
              <w:spacing w:before="60" w:after="60"/>
              <w:rPr>
                <w:rFonts w:ascii="Arial" w:eastAsia="Times New Roman" w:hAnsi="Arial" w:cs="Arial"/>
                <w:b/>
                <w:color w:val="FFFFFF" w:themeColor="background1"/>
                <w:sz w:val="20"/>
                <w:szCs w:val="20"/>
                <w:lang w:val="en-CA"/>
              </w:rPr>
            </w:pPr>
            <w:r w:rsidRPr="00E12FF7">
              <w:rPr>
                <w:rFonts w:ascii="Arial" w:eastAsia="Times New Roman" w:hAnsi="Arial" w:cs="Arial"/>
                <w:b/>
                <w:color w:val="FFFFFF" w:themeColor="background1"/>
                <w:sz w:val="20"/>
                <w:szCs w:val="20"/>
                <w:lang w:val="en-GB"/>
              </w:rPr>
              <w:t>The key</w:t>
            </w:r>
            <w:r w:rsidR="00A327ED" w:rsidRPr="00E12FF7">
              <w:rPr>
                <w:rFonts w:ascii="Arial" w:eastAsia="Times New Roman" w:hAnsi="Arial" w:cs="Arial"/>
                <w:b/>
                <w:bCs/>
                <w:color w:val="FFFFFF" w:themeColor="background1"/>
                <w:sz w:val="20"/>
                <w:szCs w:val="20"/>
                <w:lang w:val="en-GB"/>
              </w:rPr>
              <w:t xml:space="preserve"> </w:t>
            </w:r>
            <w:r w:rsidRPr="00E12FF7">
              <w:rPr>
                <w:rFonts w:ascii="Arial" w:eastAsia="Times New Roman" w:hAnsi="Arial" w:cs="Arial"/>
                <w:b/>
                <w:color w:val="FFFFFF" w:themeColor="background1"/>
                <w:sz w:val="20"/>
                <w:szCs w:val="20"/>
                <w:lang w:val="en-GB"/>
              </w:rPr>
              <w:t>priority</w:t>
            </w:r>
            <w:r w:rsidR="00A327ED" w:rsidRPr="00E12FF7">
              <w:rPr>
                <w:rFonts w:ascii="Arial" w:eastAsia="Times New Roman" w:hAnsi="Arial" w:cs="Arial"/>
                <w:b/>
                <w:bCs/>
                <w:color w:val="FFFFFF" w:themeColor="background1"/>
                <w:sz w:val="20"/>
                <w:szCs w:val="20"/>
                <w:lang w:val="en-GB"/>
              </w:rPr>
              <w:t xml:space="preserve"> </w:t>
            </w:r>
            <w:r w:rsidRPr="00E12FF7">
              <w:rPr>
                <w:rFonts w:ascii="Arial" w:eastAsia="Times New Roman" w:hAnsi="Arial" w:cs="Arial"/>
                <w:b/>
                <w:color w:val="FFFFFF" w:themeColor="background1"/>
                <w:sz w:val="20"/>
                <w:szCs w:val="20"/>
                <w:lang w:val="en-GB"/>
              </w:rPr>
              <w:t xml:space="preserve">for last quarter was to focus </w:t>
            </w:r>
            <w:r w:rsidR="00FA2F26" w:rsidRPr="00E12FF7">
              <w:rPr>
                <w:rFonts w:ascii="Arial" w:eastAsia="Times New Roman" w:hAnsi="Arial" w:cs="Arial"/>
                <w:b/>
                <w:color w:val="FFFFFF" w:themeColor="background1"/>
                <w:sz w:val="20"/>
                <w:szCs w:val="20"/>
                <w:lang w:val="en-GB"/>
              </w:rPr>
              <w:t>…</w:t>
            </w:r>
            <w:r w:rsidRPr="00E12FF7">
              <w:rPr>
                <w:rFonts w:ascii="Arial" w:eastAsia="Times New Roman" w:hAnsi="Arial" w:cs="Arial"/>
                <w:b/>
                <w:color w:val="FFFFFF" w:themeColor="background1"/>
                <w:sz w:val="20"/>
                <w:szCs w:val="20"/>
                <w:lang w:val="en-CA"/>
              </w:rPr>
              <w:t> </w:t>
            </w:r>
          </w:p>
        </w:tc>
        <w:tc>
          <w:tcPr>
            <w:tcW w:w="3884" w:type="pct"/>
            <w:hideMark/>
          </w:tcPr>
          <w:p>
            <w:r>
              <w:t>The key priority for last quarter was to focus on reduce friction across the approval-to-funding journey, with deliberate focus on three areas: simplifying document submission, removing manual review bottlenecks to reduce cycle time, and expanding digital self-service to reduce assisted support demand. Effort was concentrated on the highest drop-off moments in the journey -- particularly document-related friction between approval and funding -- where customer confusion and redundant process steps were suppressing conversion..</w:t>
            </w:r>
          </w:p>
        </w:tc>
      </w:tr>
      <w:tr w:rsidR="00233058" w:rsidRPr="00E12FF7" w14:paraId="2A6C4A77" w14:textId="77777777" w:rsidTr="01CA055A">
        <w:trPr>
          <w:trHeight w:val="300"/>
        </w:trPr>
        <w:tc>
          <w:tcPr>
            <w:tcW w:w="1116" w:type="pct"/>
            <w:shd w:val="clear" w:color="auto" w:fill="8B1D41"/>
            <w:hideMark/>
          </w:tcPr>
          <w:p w14:paraId="745DF941" w14:textId="4C8BAF70" w:rsidR="00233058" w:rsidRPr="00E12FF7" w:rsidRDefault="00233058" w:rsidP="003033A2">
            <w:pPr>
              <w:spacing w:before="60" w:after="60"/>
              <w:rPr>
                <w:rFonts w:ascii="Arial" w:eastAsia="Times New Roman" w:hAnsi="Arial" w:cs="Arial"/>
                <w:b/>
                <w:color w:val="FFFFFF" w:themeColor="background1"/>
                <w:sz w:val="20"/>
                <w:szCs w:val="20"/>
                <w:lang w:val="en-CA"/>
              </w:rPr>
            </w:pPr>
            <w:r w:rsidRPr="00E12FF7">
              <w:rPr>
                <w:rFonts w:ascii="Arial" w:eastAsia="Times New Roman" w:hAnsi="Arial" w:cs="Arial"/>
                <w:b/>
                <w:color w:val="FFFFFF" w:themeColor="background1"/>
                <w:sz w:val="20"/>
                <w:szCs w:val="20"/>
                <w:lang w:val="en-GB"/>
              </w:rPr>
              <w:t>Key</w:t>
            </w:r>
            <w:r w:rsidR="00817814" w:rsidRPr="00E12FF7">
              <w:rPr>
                <w:rFonts w:ascii="Arial" w:eastAsia="Times New Roman" w:hAnsi="Arial" w:cs="Arial"/>
                <w:b/>
                <w:bCs/>
                <w:color w:val="FFFFFF" w:themeColor="background1"/>
                <w:sz w:val="20"/>
                <w:szCs w:val="20"/>
                <w:lang w:val="en-GB"/>
              </w:rPr>
              <w:t xml:space="preserve"> </w:t>
            </w:r>
            <w:r w:rsidR="001C39A7">
              <w:rPr>
                <w:rFonts w:ascii="Arial" w:eastAsia="Times New Roman" w:hAnsi="Arial" w:cs="Arial"/>
                <w:b/>
                <w:bCs/>
                <w:color w:val="FFFFFF" w:themeColor="background1"/>
                <w:sz w:val="20"/>
                <w:szCs w:val="20"/>
                <w:lang w:val="en-GB"/>
              </w:rPr>
              <w:t>l</w:t>
            </w:r>
            <w:r w:rsidRPr="00E12FF7">
              <w:rPr>
                <w:rFonts w:ascii="Arial" w:eastAsia="Times New Roman" w:hAnsi="Arial" w:cs="Arial"/>
                <w:b/>
                <w:color w:val="FFFFFF" w:themeColor="background1"/>
                <w:sz w:val="20"/>
                <w:szCs w:val="20"/>
                <w:lang w:val="en-GB"/>
              </w:rPr>
              <w:t>earnings</w:t>
            </w:r>
            <w:r w:rsidR="00817814" w:rsidRPr="00E12FF7">
              <w:rPr>
                <w:rFonts w:ascii="Arial" w:eastAsia="Times New Roman" w:hAnsi="Arial" w:cs="Arial"/>
                <w:b/>
                <w:bCs/>
                <w:color w:val="FFFFFF" w:themeColor="background1"/>
                <w:sz w:val="20"/>
                <w:szCs w:val="20"/>
                <w:lang w:val="en-GB"/>
              </w:rPr>
              <w:t xml:space="preserve"> </w:t>
            </w:r>
            <w:r w:rsidRPr="00E12FF7">
              <w:rPr>
                <w:rFonts w:ascii="Arial" w:eastAsia="Times New Roman" w:hAnsi="Arial" w:cs="Arial"/>
                <w:b/>
                <w:color w:val="FFFFFF" w:themeColor="background1"/>
                <w:sz w:val="20"/>
                <w:szCs w:val="20"/>
                <w:lang w:val="en-GB"/>
              </w:rPr>
              <w:t>this quarter were</w:t>
            </w:r>
          </w:p>
        </w:tc>
        <w:tc>
          <w:tcPr>
            <w:tcW w:w="3884" w:type="pct"/>
            <w:hideMark/>
          </w:tcPr>
          <w:p>
            <w:r>
              <w:t>- Clarity, not speed, drives customer behavior. Removing redundant document requests and providing clearer instructions had a disproportionately large impact on both conversion (+3 pts) and NPS (+1.5 pts). The primary mechanism was reduced customer uncertainty -- not process acceleration. This challenges the assumption that cycle time is the primary lever for funding conversion.</w:t>
            </w:r>
          </w:p>
          <w:p>
            <w:r>
              <w:t>- Reducing friction in a small number of high-impact moments delivers outsized gains. Focused changes at the document submission stage drove improvements across funding rate, drop-off, and experience simultaneously -- confirming the approval-to-funding journey is won or lost at discrete friction points, not across the whole flow.</w:t>
            </w:r>
          </w:p>
          <w:p>
            <w:r>
              <w:t>- Automation alone does not solve for complexity. Partial automation of manual review reduced queue volume by ~15%, but complex cases still required full manual intervention. The structural constraint is case variability, not automation maturity -- a distinction that should shape Q2 investment in early validation rather than further queue automation.</w:t>
            </w:r>
          </w:p>
          <w:p>
            <w:r>
              <w:t>- Proactive visibility reduces support demand. Introducing proactive status tracking and clearer next steps drove a 10% reduction in call volume alongside a 7-point improvement in self-service rate -- confirming that customers escalate when uncertain, not merely when dissatisfied.</w:t>
            </w:r>
          </w:p>
        </w:tc>
      </w:tr>
      <w:tr w:rsidR="00233058" w:rsidRPr="00E12FF7" w14:paraId="26375157" w14:textId="77777777" w:rsidTr="01CA055A">
        <w:trPr>
          <w:trHeight w:val="300"/>
        </w:trPr>
        <w:tc>
          <w:tcPr>
            <w:tcW w:w="1116" w:type="pct"/>
            <w:shd w:val="clear" w:color="auto" w:fill="8B1D41"/>
            <w:hideMark/>
          </w:tcPr>
          <w:p w14:paraId="17718888" w14:textId="1AB9133D" w:rsidR="00233058" w:rsidRPr="00E12FF7" w:rsidRDefault="00233058" w:rsidP="003033A2">
            <w:pPr>
              <w:spacing w:before="60" w:after="60"/>
              <w:rPr>
                <w:rFonts w:ascii="Arial" w:eastAsia="Times New Roman" w:hAnsi="Arial" w:cs="Arial"/>
                <w:b/>
                <w:color w:val="FFFFFF" w:themeColor="background1"/>
                <w:sz w:val="20"/>
                <w:szCs w:val="20"/>
                <w:lang w:val="en-CA"/>
              </w:rPr>
            </w:pPr>
            <w:r w:rsidRPr="00E12FF7">
              <w:rPr>
                <w:rFonts w:ascii="Arial" w:eastAsia="Times New Roman" w:hAnsi="Arial" w:cs="Arial"/>
                <w:b/>
                <w:color w:val="FFFFFF" w:themeColor="background1"/>
                <w:sz w:val="20"/>
                <w:szCs w:val="20"/>
                <w:lang w:val="en-GB"/>
              </w:rPr>
              <w:t>Our next</w:t>
            </w:r>
            <w:r w:rsidR="00817814" w:rsidRPr="00E12FF7">
              <w:rPr>
                <w:rFonts w:ascii="Arial" w:eastAsia="Times New Roman" w:hAnsi="Arial" w:cs="Arial"/>
                <w:b/>
                <w:bCs/>
                <w:color w:val="FFFFFF" w:themeColor="background1"/>
                <w:sz w:val="20"/>
                <w:szCs w:val="20"/>
                <w:lang w:val="en-GB"/>
              </w:rPr>
              <w:t xml:space="preserve"> </w:t>
            </w:r>
            <w:r w:rsidRPr="00E12FF7">
              <w:rPr>
                <w:rFonts w:ascii="Arial" w:eastAsia="Times New Roman" w:hAnsi="Arial" w:cs="Arial"/>
                <w:b/>
                <w:color w:val="FFFFFF" w:themeColor="background1"/>
                <w:sz w:val="20"/>
                <w:szCs w:val="20"/>
                <w:lang w:val="en-GB"/>
              </w:rPr>
              <w:t>opportunities</w:t>
            </w:r>
            <w:r w:rsidR="00817814" w:rsidRPr="00E12FF7">
              <w:rPr>
                <w:rFonts w:ascii="Arial" w:eastAsia="Times New Roman" w:hAnsi="Arial" w:cs="Arial"/>
                <w:b/>
                <w:bCs/>
                <w:color w:val="FFFFFF" w:themeColor="background1"/>
                <w:sz w:val="20"/>
                <w:szCs w:val="20"/>
                <w:lang w:val="en-GB"/>
              </w:rPr>
              <w:t xml:space="preserve"> </w:t>
            </w:r>
            <w:r w:rsidRPr="00E12FF7">
              <w:rPr>
                <w:rFonts w:ascii="Arial" w:eastAsia="Times New Roman" w:hAnsi="Arial" w:cs="Arial"/>
                <w:b/>
                <w:color w:val="FFFFFF" w:themeColor="background1"/>
                <w:sz w:val="20"/>
                <w:szCs w:val="20"/>
                <w:lang w:val="en-GB"/>
              </w:rPr>
              <w:t>are</w:t>
            </w:r>
          </w:p>
        </w:tc>
        <w:tc>
          <w:tcPr>
            <w:tcW w:w="3884" w:type="pct"/>
            <w:hideMark/>
          </w:tcPr>
          <w:p>
            <w:r>
              <w:t>- Scale document simplification to more complex customer scenarios, where drop-off and friction remain highest and Q1 gains have not yet reached.</w:t>
            </w:r>
          </w:p>
          <w:p>
            <w:r>
              <w:t>- Further reduce approval-to-funding cycle time from 18.5 to ~18 days by expanding early validation and straight-through processing for standard cases.</w:t>
            </w:r>
          </w:p>
          <w:p>
            <w:r>
              <w:t>- Extend self-service capability to edge cases and non-standard journeys, which currently fall back to assisted support and represent the next frontier of call volume reduction.</w:t>
            </w:r>
          </w:p>
        </w:tc>
      </w:tr>
    </w:tbl>
    <w:p w14:paraId="2D17B868" w14:textId="498EA022" w:rsidR="00745343" w:rsidRDefault="00745343">
      <w:pPr>
        <w:spacing w:line="259" w:lineRule="auto"/>
        <w:rPr>
          <w:rFonts w:ascii="Arial" w:eastAsia="Times New Roman" w:hAnsi="Arial" w:cs="Arial"/>
          <w:b/>
          <w:color w:val="C41F3E"/>
          <w:kern w:val="28"/>
          <w:sz w:val="32"/>
          <w:szCs w:val="32"/>
          <w:lang w:val="en-GB"/>
          <w14:numForm w14:val="lining"/>
        </w:rPr>
      </w:pPr>
    </w:p>
    <w:p w14:paraId="1332EB84" w14:textId="77777777" w:rsidR="008079A7" w:rsidRDefault="008079A7">
      <w:pPr>
        <w:spacing w:line="259" w:lineRule="auto"/>
        <w:rPr>
          <w:rFonts w:ascii="Arial" w:eastAsia="Times New Roman" w:hAnsi="Arial" w:cs="Arial"/>
          <w:b/>
          <w:color w:val="C41F3E"/>
          <w:kern w:val="28"/>
          <w:sz w:val="32"/>
          <w:szCs w:val="20"/>
          <w:lang w:val="en-GB"/>
          <w14:numForm w14:val="lining"/>
        </w:rPr>
      </w:pPr>
      <w:r>
        <w:rPr>
          <w:rFonts w:ascii="Arial" w:hAnsi="Arial" w:cs="Arial"/>
          <w:lang w:val="en-GB"/>
        </w:rPr>
        <w:br w:type="page"/>
      </w:r>
    </w:p>
    <w:p w14:paraId="538525E3" w14:textId="3DF5CF4D" w:rsidR="00D37312" w:rsidRPr="00F72369" w:rsidRDefault="00D37312" w:rsidP="00D37312">
      <w:pPr>
        <w:pStyle w:val="20MajorH1"/>
        <w:ind w:left="658" w:hanging="658"/>
        <w:rPr>
          <w:rFonts w:ascii="Arial" w:hAnsi="Arial" w:cs="Arial"/>
          <w:lang w:val="en-GB"/>
        </w:rPr>
      </w:pPr>
      <w:r w:rsidRPr="00F72369">
        <w:rPr>
          <w:rFonts w:ascii="Arial" w:hAnsi="Arial" w:cs="Arial"/>
          <w:lang w:val="en-GB"/>
        </w:rPr>
        <w:lastRenderedPageBreak/>
        <w:t>1.</w:t>
      </w:r>
      <w:r w:rsidR="006967BF">
        <w:rPr>
          <w:rFonts w:ascii="Arial" w:hAnsi="Arial" w:cs="Arial"/>
          <w:lang w:val="en-GB"/>
        </w:rPr>
        <w:t>2</w:t>
      </w:r>
      <w:r w:rsidRPr="00F72369">
        <w:rPr>
          <w:rFonts w:ascii="Arial" w:hAnsi="Arial" w:cs="Arial"/>
          <w:lang w:val="en-GB"/>
        </w:rPr>
        <w:tab/>
        <w:t xml:space="preserve">Objectives and Key Results (OKRs) </w:t>
      </w:r>
    </w:p>
    <w:p w14:paraId="360B5D64" w14:textId="3667A384" w:rsidR="00D37312" w:rsidRPr="00AD5E38" w:rsidRDefault="00D37312" w:rsidP="00D37312">
      <w:pPr>
        <w:pStyle w:val="00Body"/>
        <w:rPr>
          <w:i/>
          <w:iCs/>
          <w:lang w:val="en-GB"/>
        </w:rPr>
      </w:pPr>
      <w:r w:rsidRPr="00AD5E38">
        <w:rPr>
          <w:i/>
          <w:iCs/>
          <w:lang w:val="en-GB"/>
        </w:rPr>
        <w:t xml:space="preserve">Aim for 3 Objectives with 3-5 Key Results per Objective. Include a mix of leading action and lagging results in the </w:t>
      </w:r>
      <w:r>
        <w:rPr>
          <w:i/>
          <w:iCs/>
          <w:lang w:val="en-GB"/>
        </w:rPr>
        <w:t>K</w:t>
      </w:r>
      <w:r w:rsidRPr="00AD5E38">
        <w:rPr>
          <w:i/>
          <w:iCs/>
          <w:lang w:val="en-GB"/>
        </w:rPr>
        <w:t xml:space="preserve">ey </w:t>
      </w:r>
      <w:r>
        <w:rPr>
          <w:i/>
          <w:iCs/>
          <w:lang w:val="en-GB"/>
        </w:rPr>
        <w:t>R</w:t>
      </w:r>
      <w:r w:rsidRPr="00AD5E38">
        <w:rPr>
          <w:i/>
          <w:iCs/>
          <w:lang w:val="en-GB"/>
        </w:rPr>
        <w:t xml:space="preserve">esults. </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1885"/>
        <w:gridCol w:w="1800"/>
        <w:gridCol w:w="2790"/>
        <w:gridCol w:w="1405"/>
        <w:gridCol w:w="2577"/>
      </w:tblGrid>
      <w:tr w:rsidR="00930AAA" w14:paraId="02753485" w14:textId="77777777" w:rsidTr="01CA055A">
        <w:trPr>
          <w:tblHeader/>
        </w:trPr>
        <w:tc>
          <w:tcPr>
            <w:tcW w:w="1885" w:type="dxa"/>
            <w:shd w:val="clear" w:color="auto" w:fill="8B1D41"/>
          </w:tcPr>
          <w:p w14:paraId="14B0A26F" w14:textId="2587FCD8" w:rsidR="00930AAA" w:rsidRPr="003033A2" w:rsidRDefault="00600C54" w:rsidP="00930AAA">
            <w:pPr>
              <w:pStyle w:val="00Body"/>
              <w:spacing w:before="60" w:after="60"/>
              <w:rPr>
                <w:rFonts w:ascii="Arial" w:hAnsi="Arial" w:cs="Arial"/>
                <w:b/>
                <w:color w:val="FFFFFF" w:themeColor="background1"/>
                <w:sz w:val="20"/>
                <w:lang w:val="en-GB"/>
              </w:rPr>
            </w:pPr>
            <w:r w:rsidRPr="00344F0A">
              <w:rPr>
                <w:rFonts w:ascii="Arial" w:hAnsi="Arial" w:cs="Arial"/>
                <w:b/>
                <w:color w:val="FFFFFF" w:themeColor="background1"/>
                <w:sz w:val="20"/>
                <w:lang w:val="en-AU"/>
              </w:rPr>
              <w:t xml:space="preserve">Upstream </w:t>
            </w:r>
            <w:r w:rsidR="00770188" w:rsidRPr="00344F0A">
              <w:rPr>
                <w:rFonts w:ascii="Arial" w:hAnsi="Arial" w:cs="Arial"/>
                <w:b/>
                <w:color w:val="FFFFFF" w:themeColor="background1"/>
                <w:sz w:val="20"/>
                <w:lang w:val="en-AU"/>
              </w:rPr>
              <w:t xml:space="preserve">Domain </w:t>
            </w:r>
            <w:r w:rsidR="00DF380D" w:rsidRPr="00344F0A">
              <w:rPr>
                <w:rFonts w:ascii="Arial" w:hAnsi="Arial" w:cs="Arial"/>
                <w:b/>
                <w:color w:val="FFFFFF" w:themeColor="background1"/>
                <w:sz w:val="20"/>
                <w:lang w:val="en-AU"/>
              </w:rPr>
              <w:t>Link</w:t>
            </w:r>
            <w:r w:rsidR="00344F0A">
              <w:rPr>
                <w:rFonts w:ascii="Arial" w:hAnsi="Arial" w:cs="Arial"/>
                <w:b/>
                <w:color w:val="FFFFFF" w:themeColor="background1"/>
                <w:sz w:val="20"/>
                <w:lang w:val="en-AU"/>
              </w:rPr>
              <w:t>age</w:t>
            </w:r>
          </w:p>
        </w:tc>
        <w:tc>
          <w:tcPr>
            <w:tcW w:w="1800" w:type="dxa"/>
            <w:shd w:val="clear" w:color="auto" w:fill="8B1D41"/>
          </w:tcPr>
          <w:p w14:paraId="6D0A9CB1" w14:textId="5157143F" w:rsidR="00930AAA" w:rsidRPr="003033A2" w:rsidRDefault="00930AAA" w:rsidP="00930AAA">
            <w:pPr>
              <w:pStyle w:val="00Body"/>
              <w:spacing w:before="60" w:after="60"/>
              <w:rPr>
                <w:rFonts w:ascii="Arial" w:hAnsi="Arial" w:cs="Arial"/>
                <w:b/>
                <w:color w:val="FFFFFF" w:themeColor="background1"/>
                <w:sz w:val="20"/>
                <w:lang w:val="en-GB"/>
              </w:rPr>
            </w:pPr>
            <w:r w:rsidRPr="003033A2">
              <w:rPr>
                <w:rFonts w:ascii="Arial" w:hAnsi="Arial" w:cs="Arial"/>
                <w:b/>
                <w:color w:val="FFFFFF" w:themeColor="background1"/>
                <w:sz w:val="20"/>
                <w:lang w:val="en-GB"/>
              </w:rPr>
              <w:t>Objectives</w:t>
            </w:r>
          </w:p>
        </w:tc>
        <w:tc>
          <w:tcPr>
            <w:tcW w:w="2790" w:type="dxa"/>
            <w:shd w:val="clear" w:color="auto" w:fill="8B1D41"/>
          </w:tcPr>
          <w:p w14:paraId="4B2A2A8F" w14:textId="77777777" w:rsidR="00930AAA" w:rsidRPr="003033A2" w:rsidRDefault="00930AAA" w:rsidP="00930AAA">
            <w:pPr>
              <w:pStyle w:val="00Body"/>
              <w:spacing w:before="60" w:after="60"/>
              <w:rPr>
                <w:rFonts w:ascii="Arial" w:hAnsi="Arial" w:cs="Arial"/>
                <w:b/>
                <w:color w:val="FFFFFF" w:themeColor="background1"/>
                <w:sz w:val="20"/>
                <w:lang w:val="en-GB"/>
              </w:rPr>
            </w:pPr>
            <w:r w:rsidRPr="003033A2">
              <w:rPr>
                <w:rFonts w:ascii="Arial" w:hAnsi="Arial" w:cs="Arial"/>
                <w:b/>
                <w:color w:val="FFFFFF" w:themeColor="background1"/>
                <w:sz w:val="20"/>
                <w:lang w:val="en-GB"/>
              </w:rPr>
              <w:t>Key Results</w:t>
            </w:r>
          </w:p>
        </w:tc>
        <w:tc>
          <w:tcPr>
            <w:tcW w:w="1405" w:type="dxa"/>
            <w:shd w:val="clear" w:color="auto" w:fill="8B1D41"/>
          </w:tcPr>
          <w:p w14:paraId="2BAF9E52" w14:textId="77777777" w:rsidR="00930AAA" w:rsidRPr="003033A2" w:rsidRDefault="00930AAA" w:rsidP="00930AAA">
            <w:pPr>
              <w:pStyle w:val="00Body"/>
              <w:spacing w:before="60" w:after="60"/>
              <w:rPr>
                <w:rFonts w:ascii="Arial" w:hAnsi="Arial" w:cs="Arial"/>
                <w:color w:val="FFFFFF" w:themeColor="background1"/>
                <w:sz w:val="20"/>
                <w:lang w:val="en-GB"/>
              </w:rPr>
            </w:pPr>
            <w:r w:rsidRPr="003033A2">
              <w:rPr>
                <w:rFonts w:ascii="Arial" w:hAnsi="Arial" w:cs="Arial"/>
                <w:b/>
                <w:color w:val="FFFFFF" w:themeColor="background1"/>
                <w:sz w:val="20"/>
                <w:lang w:val="en-GB"/>
              </w:rPr>
              <w:t>Status</w:t>
            </w:r>
          </w:p>
        </w:tc>
        <w:tc>
          <w:tcPr>
            <w:tcW w:w="2577" w:type="dxa"/>
            <w:shd w:val="clear" w:color="auto" w:fill="8B1D41"/>
          </w:tcPr>
          <w:p w14:paraId="0B59789F" w14:textId="77777777" w:rsidR="00930AAA" w:rsidRPr="003033A2" w:rsidRDefault="00930AAA" w:rsidP="00930AAA">
            <w:pPr>
              <w:pStyle w:val="00Body"/>
              <w:spacing w:before="60" w:after="60"/>
              <w:rPr>
                <w:rFonts w:ascii="Arial" w:hAnsi="Arial" w:cs="Arial"/>
                <w:b/>
                <w:color w:val="FFFFFF" w:themeColor="background1"/>
                <w:sz w:val="20"/>
                <w:lang w:val="en-GB"/>
              </w:rPr>
            </w:pPr>
            <w:r w:rsidRPr="003033A2">
              <w:rPr>
                <w:rFonts w:ascii="Arial" w:hAnsi="Arial" w:cs="Arial"/>
                <w:b/>
                <w:color w:val="FFFFFF" w:themeColor="background1"/>
                <w:sz w:val="20"/>
                <w:lang w:val="en-GB"/>
              </w:rPr>
              <w:t>Support needed</w:t>
            </w:r>
          </w:p>
        </w:tc>
      </w:tr>
      <w:tr w:rsidR="006F6A82" w14:paraId="13F908FD" w14:textId="77777777" w:rsidTr="01CA055A">
        <w:tc>
          <w:tcPr>
            <w:tcW w:w="1885" w:type="dxa"/>
            <w:vMerge w:val="restart"/>
          </w:tcPr>
          <w:p>
            <w:r>
              <w:t>Supports PBB OKR to increase digital engagement and reduce assisted service cost. This OKR addresses the primary conversion gap between approval and funding by eliminating friction at the moments customers most commonly disengage.</w:t>
            </w:r>
          </w:p>
        </w:tc>
        <w:tc>
          <w:tcPr>
            <w:tcW w:w="1800" w:type="dxa"/>
            <w:vMerge w:val="restart"/>
          </w:tcPr>
          <w:p>
            <w:r>
              <w:t>Shift customers to active owners of their funding journey through friction elimination.</w:t>
            </w:r>
          </w:p>
        </w:tc>
        <w:tc>
          <w:tcPr>
            <w:tcW w:w="2790" w:type="dxa"/>
          </w:tcPr>
          <w:p>
            <w:r>
              <w:t>Increase funding conversion rate from 65% to 68%</w:t>
            </w:r>
          </w:p>
        </w:tc>
        <w:tc>
          <w:tcPr>
            <w:tcW w:w="1405" w:type="dxa"/>
          </w:tcPr>
          <w:p>
            <w:r>
              <w:t>65% (Q1 baseline; up from 62% in Q0)</w:t>
            </w:r>
          </w:p>
        </w:tc>
        <w:tc>
          <w:tcPr>
            <w:tcW w:w="2577" w:type="dxa"/>
          </w:tcPr>
          <w:p>
            <w:r/>
          </w:p>
        </w:tc>
      </w:tr>
      <w:tr w:rsidR="006F6A82" w14:paraId="2E57C34C" w14:textId="77777777" w:rsidTr="01CA055A">
        <w:tc>
          <w:tcPr>
            <w:tcW w:w="1885" w:type="dxa"/>
            <w:vMerge/>
          </w:tcPr>
          <w:p w14:paraId="3E39E479" w14:textId="77777777" w:rsidR="006F6A82" w:rsidRPr="00A327ED" w:rsidRDefault="006F6A82" w:rsidP="00930AAA">
            <w:pPr>
              <w:pStyle w:val="00Body"/>
              <w:spacing w:before="60" w:after="60"/>
              <w:rPr>
                <w:rFonts w:ascii="Arial" w:hAnsi="Arial" w:cs="Arial"/>
                <w:sz w:val="20"/>
                <w:lang w:val="en-GB"/>
              </w:rPr>
            </w:pPr>
          </w:p>
        </w:tc>
        <w:tc>
          <w:tcPr>
            <w:tcW w:w="1800" w:type="dxa"/>
            <w:vMerge/>
          </w:tcPr>
          <w:p w14:paraId="53DA89CE" w14:textId="749CCB8D" w:rsidR="006F6A82" w:rsidRPr="00A327ED" w:rsidRDefault="006F6A82" w:rsidP="00930AAA">
            <w:pPr>
              <w:pStyle w:val="00Body"/>
              <w:spacing w:before="60" w:after="60"/>
              <w:rPr>
                <w:rFonts w:ascii="Arial" w:hAnsi="Arial" w:cs="Arial"/>
                <w:sz w:val="20"/>
                <w:lang w:val="en-GB"/>
              </w:rPr>
            </w:pPr>
          </w:p>
        </w:tc>
        <w:tc>
          <w:tcPr>
            <w:tcW w:w="2790" w:type="dxa"/>
          </w:tcPr>
          <w:p>
            <w:r>
              <w:t>Reduce document-related drop-off from 12% to less than 10%</w:t>
            </w:r>
          </w:p>
        </w:tc>
        <w:tc>
          <w:tcPr>
            <w:tcW w:w="1405" w:type="dxa"/>
          </w:tcPr>
          <w:p>
            <w:r>
              <w:t>12% (down from 18% in Q0)</w:t>
            </w:r>
          </w:p>
        </w:tc>
        <w:tc>
          <w:tcPr>
            <w:tcW w:w="2577" w:type="dxa"/>
          </w:tcPr>
          <w:p>
            <w:r>
              <w:t>Alignment with Upstream Approval and Credit Crews to reduce redundant upstream document requirements</w:t>
            </w:r>
          </w:p>
        </w:tc>
      </w:tr>
      <w:tr w:rsidR="006F6A82" w14:paraId="34160462" w14:textId="77777777" w:rsidTr="01CA055A">
        <w:tc>
          <w:tcPr>
            <w:tcW w:w="1885" w:type="dxa"/>
            <w:vMerge/>
          </w:tcPr>
          <w:p w14:paraId="1C3A20D1" w14:textId="77777777" w:rsidR="006F6A82" w:rsidRPr="00A327ED" w:rsidRDefault="006F6A82" w:rsidP="00930AAA">
            <w:pPr>
              <w:pStyle w:val="00Body"/>
              <w:spacing w:before="60" w:after="60"/>
              <w:rPr>
                <w:rFonts w:ascii="Arial" w:hAnsi="Arial" w:cs="Arial"/>
                <w:sz w:val="20"/>
                <w:lang w:val="en-GB"/>
              </w:rPr>
            </w:pPr>
          </w:p>
        </w:tc>
        <w:tc>
          <w:tcPr>
            <w:tcW w:w="1800" w:type="dxa"/>
            <w:vMerge/>
          </w:tcPr>
          <w:p w14:paraId="77EC096E" w14:textId="7ADA1A91" w:rsidR="006F6A82" w:rsidRPr="00A327ED" w:rsidRDefault="006F6A82" w:rsidP="00930AAA">
            <w:pPr>
              <w:pStyle w:val="00Body"/>
              <w:spacing w:before="60" w:after="60"/>
              <w:rPr>
                <w:rFonts w:ascii="Arial" w:hAnsi="Arial" w:cs="Arial"/>
                <w:sz w:val="20"/>
                <w:lang w:val="en-GB"/>
              </w:rPr>
            </w:pPr>
          </w:p>
        </w:tc>
        <w:tc>
          <w:tcPr>
            <w:tcW w:w="2790" w:type="dxa"/>
          </w:tcPr>
          <w:p>
            <w:r>
              <w:t>Enable 70% of customers to complete document submission without assisted support</w:t>
            </w:r>
          </w:p>
        </w:tc>
        <w:tc>
          <w:tcPr>
            <w:tcW w:w="1405" w:type="dxa"/>
          </w:tcPr>
          <w:p>
            <w:r>
              <w:t>Baseline being established in Q2</w:t>
            </w:r>
          </w:p>
        </w:tc>
        <w:tc>
          <w:tcPr>
            <w:tcW w:w="2577" w:type="dxa"/>
          </w:tcPr>
          <w:p>
            <w:r>
              <w:t>Digital Channels for consistent action and guidance presentation</w:t>
            </w:r>
          </w:p>
        </w:tc>
      </w:tr>
      <w:tr w:rsidR="006F6A82" w14:paraId="0600390D" w14:textId="77777777" w:rsidTr="01CA055A">
        <w:tc>
          <w:tcPr>
            <w:tcW w:w="1885" w:type="dxa"/>
            <w:vMerge w:val="restart"/>
          </w:tcPr>
          <w:p>
            <w:r>
              <w:t>Supports PBB operational efficiency OKR. This OKR exists to reduce manual handling cost and cycle time, enabling higher throughput without proportional resource growth.</w:t>
            </w:r>
          </w:p>
        </w:tc>
        <w:tc>
          <w:tcPr>
            <w:tcW w:w="1800" w:type="dxa"/>
            <w:vMerge w:val="restart"/>
          </w:tcPr>
          <w:p>
            <w:r>
              <w:t>Build a faster, more automated operational backbone for the funding journey.</w:t>
            </w:r>
          </w:p>
        </w:tc>
        <w:tc>
          <w:tcPr>
            <w:tcW w:w="2790" w:type="dxa"/>
          </w:tcPr>
          <w:p>
            <w:r>
              <w:t>Reduce approval-to-funding cycle time from 18.5 to 18 days</w:t>
            </w:r>
          </w:p>
        </w:tc>
        <w:tc>
          <w:tcPr>
            <w:tcW w:w="1405" w:type="dxa"/>
          </w:tcPr>
          <w:p>
            <w:r>
              <w:t>18.5 days (down from 19 days in Q0)</w:t>
            </w:r>
          </w:p>
        </w:tc>
        <w:tc>
          <w:tcPr>
            <w:tcW w:w="2577" w:type="dxa"/>
          </w:tcPr>
          <w:p>
            <w:r/>
          </w:p>
        </w:tc>
      </w:tr>
      <w:tr w:rsidR="006F6A82" w14:paraId="4EDD6552" w14:textId="77777777" w:rsidTr="01CA055A">
        <w:tc>
          <w:tcPr>
            <w:tcW w:w="1885" w:type="dxa"/>
            <w:vMerge/>
          </w:tcPr>
          <w:p w14:paraId="78D80781" w14:textId="77777777" w:rsidR="006F6A82" w:rsidRPr="00A327ED" w:rsidRDefault="006F6A82" w:rsidP="00930AAA">
            <w:pPr>
              <w:pStyle w:val="00Body"/>
              <w:spacing w:before="60" w:after="60"/>
              <w:rPr>
                <w:rFonts w:ascii="Arial" w:hAnsi="Arial" w:cs="Arial"/>
                <w:sz w:val="20"/>
                <w:lang w:val="en-AU"/>
              </w:rPr>
            </w:pPr>
          </w:p>
        </w:tc>
        <w:tc>
          <w:tcPr>
            <w:tcW w:w="1800" w:type="dxa"/>
            <w:vMerge/>
          </w:tcPr>
          <w:p w14:paraId="5199641D" w14:textId="69EB097E" w:rsidR="006F6A82" w:rsidRPr="00A327ED" w:rsidRDefault="006F6A82" w:rsidP="00930AAA">
            <w:pPr>
              <w:pStyle w:val="00Body"/>
              <w:spacing w:before="60" w:after="60"/>
              <w:rPr>
                <w:rFonts w:ascii="Arial" w:hAnsi="Arial" w:cs="Arial"/>
                <w:sz w:val="20"/>
                <w:lang w:val="en-AU"/>
              </w:rPr>
            </w:pPr>
          </w:p>
        </w:tc>
        <w:tc>
          <w:tcPr>
            <w:tcW w:w="2790" w:type="dxa"/>
          </w:tcPr>
          <w:p>
            <w:r>
              <w:t>Reduce manual review volume by an additional 20%</w:t>
            </w:r>
          </w:p>
        </w:tc>
        <w:tc>
          <w:tcPr>
            <w:tcW w:w="1405" w:type="dxa"/>
          </w:tcPr>
          <w:p>
            <w:r>
              <w:t>-15% achieved in Q1; further reduction targeted</w:t>
            </w:r>
          </w:p>
        </w:tc>
        <w:tc>
          <w:tcPr>
            <w:tcW w:w="2577" w:type="dxa"/>
          </w:tcPr>
          <w:p>
            <w:r>
              <w:t>Enterprise Credit to approve early-stage validation rules and tolerance thresholds for complex cases</w:t>
            </w:r>
          </w:p>
        </w:tc>
      </w:tr>
      <w:tr w:rsidR="006F6A82" w14:paraId="3429740F" w14:textId="77777777" w:rsidTr="01CA055A">
        <w:tc>
          <w:tcPr>
            <w:tcW w:w="1885" w:type="dxa"/>
            <w:vMerge/>
          </w:tcPr>
          <w:p w14:paraId="0966339B" w14:textId="77777777" w:rsidR="006F6A82" w:rsidRPr="00A327ED" w:rsidRDefault="006F6A82" w:rsidP="00930AAA">
            <w:pPr>
              <w:pStyle w:val="00Body"/>
              <w:spacing w:before="60" w:after="60"/>
              <w:rPr>
                <w:rFonts w:ascii="Arial" w:hAnsi="Arial" w:cs="Arial"/>
                <w:sz w:val="20"/>
                <w:lang w:val="en-AU"/>
              </w:rPr>
            </w:pPr>
          </w:p>
        </w:tc>
        <w:tc>
          <w:tcPr>
            <w:tcW w:w="1800" w:type="dxa"/>
            <w:vMerge/>
          </w:tcPr>
          <w:p w14:paraId="1E84D0F5" w14:textId="7FB9790F" w:rsidR="006F6A82" w:rsidRPr="00A327ED" w:rsidRDefault="006F6A82" w:rsidP="00930AAA">
            <w:pPr>
              <w:pStyle w:val="00Body"/>
              <w:spacing w:before="60" w:after="60"/>
              <w:rPr>
                <w:rFonts w:ascii="Arial" w:hAnsi="Arial" w:cs="Arial"/>
                <w:sz w:val="20"/>
                <w:lang w:val="en-AU"/>
              </w:rPr>
            </w:pPr>
          </w:p>
        </w:tc>
        <w:tc>
          <w:tcPr>
            <w:tcW w:w="2790" w:type="dxa"/>
          </w:tcPr>
          <w:p>
            <w:r>
              <w:t>Increase straight-through processing for standard cases to 75%</w:t>
            </w:r>
          </w:p>
        </w:tc>
        <w:tc>
          <w:tcPr>
            <w:tcW w:w="1405" w:type="dxa"/>
          </w:tcPr>
          <w:p>
            <w:r>
              <w:t>Baseline being established in Q2</w:t>
            </w:r>
          </w:p>
        </w:tc>
        <w:tc>
          <w:tcPr>
            <w:tcW w:w="2577" w:type="dxa"/>
          </w:tcPr>
          <w:p>
            <w:r>
              <w:t>Credit and Technology teams to enable automated early validation</w:t>
            </w:r>
          </w:p>
        </w:tc>
      </w:tr>
      <w:tr w:rsidR="006F6A82" w14:paraId="0AD29BFF" w14:textId="77777777" w:rsidTr="01CA055A">
        <w:tc>
          <w:tcPr>
            <w:tcW w:w="1885" w:type="dxa"/>
            <w:vMerge w:val="restart"/>
          </w:tcPr>
          <w:p>
            <w:r>
              <w:t>Supports PBB digital engagement and customer experience OKRs. This OKR scales Q1 self-service gains to a broader range of customer scenarios, reducing structural dependency on assisted channels.</w:t>
            </w:r>
          </w:p>
        </w:tc>
        <w:tc>
          <w:tcPr>
            <w:tcW w:w="1800" w:type="dxa"/>
            <w:vMerge w:val="restart"/>
          </w:tcPr>
          <w:p>
            <w:r>
              <w:t>Make digital self-service the default across the approval-to-funding journey.</w:t>
            </w:r>
          </w:p>
        </w:tc>
        <w:tc>
          <w:tcPr>
            <w:tcW w:w="2790" w:type="dxa"/>
          </w:tcPr>
          <w:p>
            <w:r>
              <w:t>Increase self-service rate from 65% to 72%</w:t>
            </w:r>
          </w:p>
        </w:tc>
        <w:tc>
          <w:tcPr>
            <w:tcW w:w="1405" w:type="dxa"/>
          </w:tcPr>
          <w:p>
            <w:r>
              <w:t>65% (up from 58% in Q0)</w:t>
            </w:r>
          </w:p>
        </w:tc>
        <w:tc>
          <w:tcPr>
            <w:tcW w:w="2577" w:type="dxa"/>
          </w:tcPr>
          <w:p>
            <w:r/>
          </w:p>
        </w:tc>
      </w:tr>
      <w:tr w:rsidR="006F6A82" w14:paraId="730976B7" w14:textId="77777777" w:rsidTr="01CA055A">
        <w:tc>
          <w:tcPr>
            <w:tcW w:w="1885" w:type="dxa"/>
            <w:vMerge/>
          </w:tcPr>
          <w:p w14:paraId="10C8E535" w14:textId="77777777" w:rsidR="006F6A82" w:rsidRPr="00A327ED" w:rsidRDefault="006F6A82" w:rsidP="00930AAA">
            <w:pPr>
              <w:pStyle w:val="00Body"/>
              <w:spacing w:before="60" w:after="60"/>
              <w:rPr>
                <w:rFonts w:ascii="Arial" w:hAnsi="Arial" w:cs="Arial"/>
                <w:sz w:val="20"/>
                <w:lang w:val="en-AU"/>
              </w:rPr>
            </w:pPr>
          </w:p>
        </w:tc>
        <w:tc>
          <w:tcPr>
            <w:tcW w:w="1800" w:type="dxa"/>
            <w:vMerge/>
          </w:tcPr>
          <w:p w14:paraId="4CB74AA5" w14:textId="1C4B5357" w:rsidR="006F6A82" w:rsidRPr="00A327ED" w:rsidRDefault="006F6A82" w:rsidP="00930AAA">
            <w:pPr>
              <w:pStyle w:val="00Body"/>
              <w:spacing w:before="60" w:after="60"/>
              <w:rPr>
                <w:rFonts w:ascii="Arial" w:hAnsi="Arial" w:cs="Arial"/>
                <w:sz w:val="20"/>
                <w:lang w:val="en-AU"/>
              </w:rPr>
            </w:pPr>
          </w:p>
        </w:tc>
        <w:tc>
          <w:tcPr>
            <w:tcW w:w="2790" w:type="dxa"/>
          </w:tcPr>
          <w:p>
            <w:r>
              <w:t>Reduce inbound call volume by an additional 10% on top of Q1 reduction</w:t>
            </w:r>
          </w:p>
        </w:tc>
        <w:tc>
          <w:tcPr>
            <w:tcW w:w="1405" w:type="dxa"/>
          </w:tcPr>
          <w:p>
            <w:r>
              <w:t>-10% achieved in Q1; further reduction targeted</w:t>
            </w:r>
          </w:p>
        </w:tc>
        <w:tc>
          <w:tcPr>
            <w:tcW w:w="2577" w:type="dxa"/>
          </w:tcPr>
          <w:p>
            <w:r>
              <w:t>Cross-domain alignment on consistent status messaging and next-step guidance</w:t>
            </w:r>
          </w:p>
        </w:tc>
      </w:tr>
      <w:tr w:rsidR="006F6A82" w14:paraId="7D537EBA" w14:textId="77777777" w:rsidTr="01CA055A">
        <w:tc>
          <w:tcPr>
            <w:tcW w:w="1885" w:type="dxa"/>
            <w:vMerge/>
          </w:tcPr>
          <w:p w14:paraId="10A79561" w14:textId="77777777" w:rsidR="006F6A82" w:rsidRPr="00A327ED" w:rsidRDefault="006F6A82" w:rsidP="00930AAA">
            <w:pPr>
              <w:pStyle w:val="00Body"/>
              <w:spacing w:before="60" w:after="60"/>
              <w:rPr>
                <w:rFonts w:ascii="Arial" w:hAnsi="Arial" w:cs="Arial"/>
                <w:sz w:val="20"/>
                <w:lang w:val="en-AU"/>
              </w:rPr>
            </w:pPr>
          </w:p>
        </w:tc>
        <w:tc>
          <w:tcPr>
            <w:tcW w:w="1800" w:type="dxa"/>
            <w:vMerge/>
          </w:tcPr>
          <w:p w14:paraId="4D1C4909" w14:textId="4711CB0D" w:rsidR="006F6A82" w:rsidRPr="00A327ED" w:rsidRDefault="006F6A82" w:rsidP="00930AAA">
            <w:pPr>
              <w:pStyle w:val="00Body"/>
              <w:spacing w:before="60" w:after="60"/>
              <w:rPr>
                <w:rFonts w:ascii="Arial" w:hAnsi="Arial" w:cs="Arial"/>
                <w:sz w:val="20"/>
                <w:lang w:val="en-AU"/>
              </w:rPr>
            </w:pPr>
          </w:p>
        </w:tc>
        <w:tc>
          <w:tcPr>
            <w:tcW w:w="2790" w:type="dxa"/>
          </w:tcPr>
          <w:p>
            <w:r>
              <w:t>Improve NPS by +2 pts over Q1 baseline</w:t>
            </w:r>
          </w:p>
        </w:tc>
        <w:tc>
          <w:tcPr>
            <w:tcW w:w="1405" w:type="dxa"/>
          </w:tcPr>
          <w:p>
            <w:r>
              <w:t>+1.5 pts in Q1; trajectory positive</w:t>
            </w:r>
          </w:p>
        </w:tc>
        <w:tc>
          <w:tcPr>
            <w:tcW w:w="2577" w:type="dxa"/>
          </w:tcPr>
          <w:p>
            <w:r/>
          </w:p>
        </w:tc>
      </w:tr>
    </w:tbl>
    <w:p w14:paraId="6B6904F2" w14:textId="77777777" w:rsidR="00D37312" w:rsidRDefault="00D37312" w:rsidP="00117B41">
      <w:pPr>
        <w:pStyle w:val="20MajorH1"/>
        <w:rPr>
          <w:rFonts w:ascii="Arial" w:hAnsi="Arial" w:cs="Arial"/>
          <w:szCs w:val="32"/>
          <w:lang w:val="en-GB"/>
        </w:rPr>
      </w:pPr>
    </w:p>
    <w:p w14:paraId="21F650FF" w14:textId="77777777" w:rsidR="00D37312" w:rsidRDefault="00D37312">
      <w:pPr>
        <w:spacing w:line="259" w:lineRule="auto"/>
        <w:rPr>
          <w:rFonts w:ascii="Arial" w:eastAsia="Times New Roman" w:hAnsi="Arial" w:cs="Arial"/>
          <w:b/>
          <w:color w:val="C41F3E"/>
          <w:kern w:val="28"/>
          <w:sz w:val="32"/>
          <w:szCs w:val="32"/>
          <w:lang w:val="en-GB"/>
          <w14:numForm w14:val="lining"/>
        </w:rPr>
      </w:pPr>
      <w:r>
        <w:rPr>
          <w:rFonts w:ascii="Arial" w:hAnsi="Arial" w:cs="Arial"/>
          <w:szCs w:val="32"/>
          <w:lang w:val="en-GB"/>
        </w:rPr>
        <w:br w:type="page"/>
      </w:r>
    </w:p>
    <w:p w14:paraId="457144FB" w14:textId="36EFA0BD" w:rsidR="00E017AC" w:rsidRPr="00F72369" w:rsidRDefault="00E017AC" w:rsidP="00117B41">
      <w:pPr>
        <w:pStyle w:val="20MajorH1"/>
        <w:rPr>
          <w:rFonts w:ascii="Arial" w:hAnsi="Arial" w:cs="Arial"/>
          <w:bCs/>
          <w:szCs w:val="32"/>
        </w:rPr>
      </w:pPr>
      <w:r w:rsidRPr="00F72369">
        <w:rPr>
          <w:rFonts w:ascii="Arial" w:hAnsi="Arial" w:cs="Arial"/>
          <w:szCs w:val="32"/>
          <w:lang w:val="en-GB"/>
        </w:rPr>
        <w:lastRenderedPageBreak/>
        <w:t>1.</w:t>
      </w:r>
      <w:r w:rsidR="00D37312">
        <w:rPr>
          <w:rFonts w:ascii="Arial" w:hAnsi="Arial" w:cs="Arial"/>
          <w:szCs w:val="32"/>
          <w:lang w:val="en-GB"/>
        </w:rPr>
        <w:t xml:space="preserve">3 </w:t>
      </w:r>
      <w:r w:rsidR="00F90BF1" w:rsidRPr="00F72369">
        <w:rPr>
          <w:rFonts w:ascii="Arial" w:hAnsi="Arial" w:cs="Arial"/>
          <w:szCs w:val="32"/>
          <w:lang w:val="en-GB"/>
        </w:rPr>
        <w:t>KPI</w:t>
      </w:r>
      <w:r w:rsidR="00F72369">
        <w:rPr>
          <w:rFonts w:ascii="Arial" w:hAnsi="Arial" w:cs="Arial"/>
          <w:szCs w:val="32"/>
          <w:lang w:val="en-GB"/>
        </w:rPr>
        <w:t>s &amp; Financials</w:t>
      </w:r>
      <w:r w:rsidR="00F90BF1" w:rsidRPr="00F72369">
        <w:rPr>
          <w:rFonts w:ascii="Arial" w:hAnsi="Arial" w:cs="Arial"/>
          <w:szCs w:val="32"/>
          <w:lang w:val="en-GB"/>
        </w:rPr>
        <w:t xml:space="preserve"> dash</w:t>
      </w:r>
      <w:r w:rsidR="00A97F8A" w:rsidRPr="00F72369">
        <w:rPr>
          <w:rFonts w:ascii="Arial" w:hAnsi="Arial" w:cs="Arial"/>
          <w:bCs/>
          <w:szCs w:val="32"/>
        </w:rPr>
        <w:t>board</w:t>
      </w:r>
    </w:p>
    <w:p w14:paraId="441313AF" w14:textId="3D996126" w:rsidR="00C165C1" w:rsidRPr="00472675" w:rsidRDefault="00C252F9" w:rsidP="00C252F9">
      <w:pPr>
        <w:pStyle w:val="00Body"/>
        <w:rPr>
          <w:i/>
          <w:iCs/>
        </w:rPr>
      </w:pPr>
      <w:r w:rsidRPr="00472675">
        <w:rPr>
          <w:i/>
          <w:iCs/>
        </w:rPr>
        <w:t xml:space="preserve">Provide a focused set of ongoing KPIs that reflect steady-state business health. KPIs should cover </w:t>
      </w:r>
      <w:r w:rsidR="00472675">
        <w:rPr>
          <w:i/>
          <w:iCs/>
        </w:rPr>
        <w:t xml:space="preserve">a mix of </w:t>
      </w:r>
      <w:r w:rsidRPr="00472675">
        <w:rPr>
          <w:i/>
          <w:iCs/>
        </w:rPr>
        <w:t>client outcomes, operational performance, people, and financial impact. Do not use KPIs to track one-off initiatives or strategic change</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1395"/>
        <w:gridCol w:w="2745"/>
        <w:gridCol w:w="989"/>
        <w:gridCol w:w="350"/>
        <w:gridCol w:w="883"/>
        <w:gridCol w:w="883"/>
        <w:gridCol w:w="909"/>
        <w:gridCol w:w="840"/>
        <w:gridCol w:w="1463"/>
      </w:tblGrid>
      <w:tr w:rsidR="00911DA9" w:rsidRPr="00801038" w14:paraId="2541F92A" w14:textId="519DA3B9" w:rsidTr="006853A9">
        <w:trPr>
          <w:tblHeader/>
        </w:trPr>
        <w:tc>
          <w:tcPr>
            <w:tcW w:w="4140" w:type="dxa"/>
            <w:gridSpan w:val="2"/>
            <w:vMerge w:val="restart"/>
            <w:shd w:val="clear" w:color="auto" w:fill="8B1D41"/>
            <w:vAlign w:val="bottom"/>
          </w:tcPr>
          <w:p w14:paraId="6D3E94ED" w14:textId="77777777" w:rsidR="00911DA9" w:rsidRPr="003033A2" w:rsidRDefault="00911DA9" w:rsidP="008E5B3A">
            <w:pPr>
              <w:pStyle w:val="00Body"/>
              <w:spacing w:before="20" w:after="20"/>
              <w:rPr>
                <w:rFonts w:ascii="Arial" w:hAnsi="Arial" w:cs="Arial"/>
                <w:b/>
                <w:color w:val="FFFFFF" w:themeColor="background1"/>
                <w:sz w:val="20"/>
                <w:lang w:val="en-GB"/>
              </w:rPr>
            </w:pPr>
            <w:r w:rsidRPr="003033A2">
              <w:rPr>
                <w:rFonts w:ascii="Arial" w:hAnsi="Arial" w:cs="Arial"/>
                <w:b/>
                <w:color w:val="FFFFFF" w:themeColor="background1"/>
                <w:sz w:val="20"/>
                <w:lang w:val="en-GB"/>
              </w:rPr>
              <w:t>Dashboard</w:t>
            </w:r>
          </w:p>
        </w:tc>
        <w:tc>
          <w:tcPr>
            <w:tcW w:w="2222" w:type="dxa"/>
            <w:gridSpan w:val="3"/>
            <w:shd w:val="clear" w:color="auto" w:fill="8B1D41"/>
            <w:vAlign w:val="bottom"/>
          </w:tcPr>
          <w:p>
            <w:pPr>
              <w:jc w:val="center"/>
            </w:pPr>
            <w:r/>
            <w:r>
              <w:rPr>
                <w:b/>
                <w:color w:val="FFFFFF"/>
              </w:rPr>
              <w:t>Q3</w:t>
            </w:r>
          </w:p>
        </w:tc>
        <w:tc>
          <w:tcPr>
            <w:tcW w:w="883" w:type="dxa"/>
            <w:shd w:val="clear" w:color="auto" w:fill="8B1D41"/>
            <w:vAlign w:val="bottom"/>
          </w:tcPr>
          <w:p>
            <w:pPr>
              <w:jc w:val="center"/>
            </w:pPr>
            <w:r/>
            <w:r>
              <w:rPr>
                <w:b/>
                <w:color w:val="FFFFFF"/>
              </w:rPr>
              <w:t>Q4</w:t>
            </w:r>
          </w:p>
        </w:tc>
        <w:tc>
          <w:tcPr>
            <w:tcW w:w="1749" w:type="dxa"/>
            <w:gridSpan w:val="2"/>
            <w:shd w:val="clear" w:color="auto" w:fill="8B1D41"/>
            <w:vAlign w:val="bottom"/>
          </w:tcPr>
          <w:p>
            <w:pPr>
              <w:jc w:val="center"/>
            </w:pPr>
            <w:r/>
            <w:r>
              <w:rPr>
                <w:b/>
                <w:color w:val="FFFFFF"/>
              </w:rPr>
              <w:t>FY26</w:t>
            </w:r>
          </w:p>
        </w:tc>
        <w:tc>
          <w:tcPr>
            <w:tcW w:w="1463" w:type="dxa"/>
            <w:vMerge w:val="restart"/>
            <w:shd w:val="clear" w:color="auto" w:fill="8B1D41"/>
          </w:tcPr>
          <w:p>
            <w:pPr>
              <w:jc w:val="center"/>
            </w:pPr>
            <w:r/>
            <w:r>
              <w:rPr>
                <w:b/>
                <w:color w:val="FFFFFF"/>
              </w:rPr>
              <w:t>Upstream KPI Impact</w:t>
            </w:r>
          </w:p>
        </w:tc>
      </w:tr>
      <w:tr w:rsidR="00911DA9" w:rsidRPr="00801038" w14:paraId="51DA7F2E" w14:textId="4E9596BD" w:rsidTr="00911DA9">
        <w:trPr>
          <w:tblHeader/>
        </w:trPr>
        <w:tc>
          <w:tcPr>
            <w:tcW w:w="4140" w:type="dxa"/>
            <w:gridSpan w:val="2"/>
            <w:vMerge/>
            <w:shd w:val="clear" w:color="auto" w:fill="D9D9D9" w:themeFill="background1" w:themeFillShade="D9"/>
            <w:vAlign w:val="bottom"/>
          </w:tcPr>
          <w:p w14:paraId="6F0082CB" w14:textId="77777777" w:rsidR="00911DA9" w:rsidRPr="00A327ED" w:rsidRDefault="00911DA9" w:rsidP="008E5B3A">
            <w:pPr>
              <w:pStyle w:val="00Body"/>
              <w:spacing w:before="20" w:after="20"/>
              <w:rPr>
                <w:rFonts w:ascii="Arial" w:hAnsi="Arial" w:cs="Arial"/>
                <w:b/>
                <w:sz w:val="20"/>
                <w:lang w:val="en-GB"/>
              </w:rPr>
            </w:pPr>
          </w:p>
        </w:tc>
        <w:tc>
          <w:tcPr>
            <w:tcW w:w="1339" w:type="dxa"/>
            <w:gridSpan w:val="2"/>
            <w:shd w:val="clear" w:color="auto" w:fill="F2F2F2" w:themeFill="background1" w:themeFillShade="F2"/>
            <w:vAlign w:val="bottom"/>
          </w:tcPr>
          <w:p>
            <w:pPr>
              <w:jc w:val="center"/>
            </w:pPr>
            <w:r/>
            <w:r>
              <w:rPr>
                <w:b/>
              </w:rPr>
              <w:t>Actual</w:t>
            </w:r>
          </w:p>
        </w:tc>
        <w:tc>
          <w:tcPr>
            <w:tcW w:w="883" w:type="dxa"/>
            <w:shd w:val="clear" w:color="auto" w:fill="F2F2F2" w:themeFill="background1" w:themeFillShade="F2"/>
            <w:vAlign w:val="bottom"/>
          </w:tcPr>
          <w:p>
            <w:pPr>
              <w:jc w:val="center"/>
            </w:pPr>
            <w:r/>
            <w:r>
              <w:rPr>
                <w:b/>
              </w:rPr>
              <w:t>Target</w:t>
            </w:r>
          </w:p>
        </w:tc>
        <w:tc>
          <w:tcPr>
            <w:tcW w:w="883" w:type="dxa"/>
            <w:shd w:val="clear" w:color="auto" w:fill="F2F2F2" w:themeFill="background1" w:themeFillShade="F2"/>
            <w:vAlign w:val="bottom"/>
          </w:tcPr>
          <w:p>
            <w:pPr>
              <w:jc w:val="center"/>
            </w:pPr>
            <w:r/>
            <w:r>
              <w:rPr>
                <w:b/>
              </w:rPr>
              <w:t>Target</w:t>
            </w:r>
          </w:p>
        </w:tc>
        <w:tc>
          <w:tcPr>
            <w:tcW w:w="909" w:type="dxa"/>
            <w:shd w:val="clear" w:color="auto" w:fill="F2F2F2" w:themeFill="background1" w:themeFillShade="F2"/>
            <w:vAlign w:val="bottom"/>
          </w:tcPr>
          <w:p>
            <w:pPr>
              <w:jc w:val="center"/>
            </w:pPr>
            <w:r/>
            <w:r>
              <w:rPr>
                <w:b/>
              </w:rPr>
              <w:t>Actuals</w:t>
              <w:br/>
              <w:t>to Date</w:t>
            </w:r>
          </w:p>
        </w:tc>
        <w:tc>
          <w:tcPr>
            <w:tcW w:w="840" w:type="dxa"/>
            <w:shd w:val="clear" w:color="auto" w:fill="F2F2F2" w:themeFill="background1" w:themeFillShade="F2"/>
            <w:vAlign w:val="bottom"/>
          </w:tcPr>
          <w:p>
            <w:pPr>
              <w:jc w:val="center"/>
            </w:pPr>
            <w:r/>
            <w:r>
              <w:rPr>
                <w:b/>
              </w:rPr>
              <w:t>Year End</w:t>
            </w:r>
          </w:p>
        </w:tc>
        <w:tc>
          <w:tcPr>
            <w:tcW w:w="1463" w:type="dxa"/>
            <w:vMerge/>
            <w:shd w:val="clear" w:color="auto" w:fill="8B1D41"/>
          </w:tcPr>
          <w:p w14:paraId="5BC4A494" w14:textId="77777777" w:rsidR="00911DA9" w:rsidRPr="00A327ED" w:rsidRDefault="00911DA9" w:rsidP="008E5B3A">
            <w:pPr>
              <w:pStyle w:val="00Body"/>
              <w:spacing w:before="20" w:after="20"/>
              <w:rPr>
                <w:rFonts w:ascii="Arial" w:hAnsi="Arial" w:cs="Arial"/>
                <w:b/>
                <w:sz w:val="20"/>
                <w:lang w:val="en-GB"/>
              </w:rPr>
            </w:pPr>
          </w:p>
        </w:tc>
      </w:tr>
      <w:tr w:rsidR="006853A9" w:rsidRPr="00801038" w14:paraId="3AAC98DD" w14:textId="492BD015" w:rsidTr="006853A9">
        <w:tc>
          <w:tcPr>
            <w:tcW w:w="1395" w:type="dxa"/>
            <w:vMerge w:val="restart"/>
            <w:shd w:val="clear" w:color="auto" w:fill="F2F2F2" w:themeFill="background1" w:themeFillShade="F2"/>
          </w:tcPr>
          <w:p>
            <w:pPr>
              <w:jc w:val="center"/>
            </w:pPr>
            <w:r/>
            <w:r>
              <w:rPr>
                <w:b w:val="0"/>
              </w:rPr>
              <w:t>Client Outcomes</w:t>
            </w:r>
          </w:p>
        </w:tc>
        <w:tc>
          <w:tcPr>
            <w:tcW w:w="2745" w:type="dxa"/>
          </w:tcPr>
          <w:p>
            <w:pPr>
              <w:jc w:val="center"/>
            </w:pPr>
            <w:r/>
            <w:r>
              <w:rPr>
                <w:b w:val="0"/>
              </w:rPr>
              <w:t>Funding conversion rate</w:t>
            </w:r>
          </w:p>
        </w:tc>
        <w:tc>
          <w:tcPr>
            <w:tcW w:w="989" w:type="dxa"/>
          </w:tcPr>
          <w:p>
            <w:pPr>
              <w:jc w:val="center"/>
            </w:pPr>
            <w:r/>
            <w:r>
              <w:rPr>
                <w:b w:val="0"/>
              </w:rPr>
              <w:t>65%</w:t>
            </w:r>
          </w:p>
        </w:tc>
        <w:tc>
          <w:tcPr>
            <w:tcW w:w="350" w:type="dxa"/>
          </w:tcPr>
          <w:p>
            <w:pPr>
              <w:jc w:val="center"/>
            </w:pPr>
            <w:r/>
            <w:r>
              <w:rPr>
                <w:color w:val="C00000"/>
              </w:rPr>
              <w:t>●</w:t>
            </w:r>
          </w:p>
        </w:tc>
        <w:tc>
          <w:tcPr>
            <w:tcW w:w="883" w:type="dxa"/>
          </w:tcPr>
          <w:p>
            <w:pPr>
              <w:jc w:val="center"/>
            </w:pPr>
            <w:r/>
            <w:r>
              <w:rPr>
                <w:b w:val="0"/>
              </w:rPr>
              <w:t>68%</w:t>
            </w:r>
          </w:p>
        </w:tc>
        <w:tc>
          <w:tcPr>
            <w:tcW w:w="883" w:type="dxa"/>
          </w:tcPr>
          <w:p>
            <w:pPr>
              <w:jc w:val="center"/>
            </w:pPr>
            <w:r/>
            <w:r>
              <w:rPr>
                <w:b w:val="0"/>
              </w:rPr>
              <w:t>70%</w:t>
            </w:r>
          </w:p>
        </w:tc>
        <w:tc>
          <w:tcPr>
            <w:tcW w:w="909" w:type="dxa"/>
          </w:tcPr>
          <w:p>
            <w:pPr>
              <w:jc w:val="center"/>
            </w:pPr>
            <w:r/>
            <w:r>
              <w:rPr>
                <w:b w:val="0"/>
              </w:rPr>
              <w:t>65%</w:t>
            </w:r>
          </w:p>
        </w:tc>
        <w:tc>
          <w:tcPr>
            <w:tcW w:w="840" w:type="dxa"/>
          </w:tcPr>
          <w:p>
            <w:pPr>
              <w:jc w:val="center"/>
            </w:pPr>
            <w:r/>
            <w:r>
              <w:rPr>
                <w:b w:val="0"/>
              </w:rPr>
              <w:t>70%</w:t>
            </w:r>
          </w:p>
        </w:tc>
        <w:tc>
          <w:tcPr>
            <w:tcW w:w="1463" w:type="dxa"/>
          </w:tcPr>
          <w:p>
            <w:pPr>
              <w:jc w:val="center"/>
            </w:pPr>
            <w:r/>
            <w:r>
              <w:rPr>
                <w:b w:val="0"/>
              </w:rPr>
              <w:t>PBB Total client growth</w:t>
            </w:r>
          </w:p>
        </w:tc>
      </w:tr>
      <w:tr w:rsidR="006853A9" w:rsidRPr="00801038" w14:paraId="568C210E" w14:textId="27D94CFC" w:rsidTr="006853A9">
        <w:tc>
          <w:tcPr>
            <w:tcW w:w="1395" w:type="dxa"/>
            <w:vMerge/>
            <w:shd w:val="clear" w:color="auto" w:fill="F2F2F2" w:themeFill="background1" w:themeFillShade="F2"/>
          </w:tcPr>
          <w:p w14:paraId="0A7135D3" w14:textId="77777777" w:rsidR="006853A9" w:rsidRPr="00A327ED" w:rsidRDefault="006853A9" w:rsidP="008E5B3A">
            <w:pPr>
              <w:pStyle w:val="00Body"/>
              <w:spacing w:before="20" w:after="20"/>
              <w:rPr>
                <w:rFonts w:ascii="Arial" w:hAnsi="Arial" w:cs="Arial"/>
                <w:b/>
                <w:sz w:val="20"/>
                <w:lang w:val="en-GB"/>
              </w:rPr>
            </w:pPr>
          </w:p>
        </w:tc>
        <w:tc>
          <w:tcPr>
            <w:tcW w:w="2745" w:type="dxa"/>
          </w:tcPr>
          <w:p>
            <w:pPr>
              <w:jc w:val="center"/>
            </w:pPr>
            <w:r/>
            <w:r>
              <w:rPr>
                <w:b w:val="0"/>
              </w:rPr>
              <w:t>Document drop-off rate</w:t>
            </w:r>
          </w:p>
        </w:tc>
        <w:tc>
          <w:tcPr>
            <w:tcW w:w="989" w:type="dxa"/>
          </w:tcPr>
          <w:p>
            <w:pPr>
              <w:jc w:val="center"/>
            </w:pPr>
            <w:r/>
            <w:r>
              <w:rPr>
                <w:b w:val="0"/>
              </w:rPr>
              <w:t>12%</w:t>
            </w:r>
          </w:p>
        </w:tc>
        <w:tc>
          <w:tcPr>
            <w:tcW w:w="350" w:type="dxa"/>
          </w:tcPr>
          <w:p>
            <w:pPr>
              <w:jc w:val="center"/>
            </w:pPr>
            <w:r/>
            <w:r>
              <w:rPr>
                <w:color w:val="C00000"/>
              </w:rPr>
              <w:t>●</w:t>
            </w:r>
          </w:p>
        </w:tc>
        <w:tc>
          <w:tcPr>
            <w:tcW w:w="883" w:type="dxa"/>
          </w:tcPr>
          <w:p>
            <w:pPr>
              <w:jc w:val="center"/>
            </w:pPr>
            <w:r/>
            <w:r>
              <w:rPr>
                <w:b w:val="0"/>
              </w:rPr>
              <w:t>&lt;10%</w:t>
            </w:r>
          </w:p>
        </w:tc>
        <w:tc>
          <w:tcPr>
            <w:tcW w:w="883" w:type="dxa"/>
          </w:tcPr>
          <w:p>
            <w:pPr>
              <w:jc w:val="center"/>
            </w:pPr>
            <w:r/>
            <w:r>
              <w:rPr>
                <w:b w:val="0"/>
              </w:rPr>
              <w:t>&lt;8%</w:t>
            </w:r>
          </w:p>
        </w:tc>
        <w:tc>
          <w:tcPr>
            <w:tcW w:w="909" w:type="dxa"/>
          </w:tcPr>
          <w:p>
            <w:pPr>
              <w:jc w:val="center"/>
            </w:pPr>
            <w:r/>
            <w:r>
              <w:rPr>
                <w:b w:val="0"/>
              </w:rPr>
              <w:t>12%</w:t>
            </w:r>
          </w:p>
        </w:tc>
        <w:tc>
          <w:tcPr>
            <w:tcW w:w="840" w:type="dxa"/>
          </w:tcPr>
          <w:p>
            <w:pPr>
              <w:jc w:val="center"/>
            </w:pPr>
            <w:r/>
            <w:r>
              <w:rPr>
                <w:b w:val="0"/>
              </w:rPr>
              <w:t>&lt;8%</w:t>
            </w:r>
          </w:p>
        </w:tc>
        <w:tc>
          <w:tcPr>
            <w:tcW w:w="1463" w:type="dxa"/>
          </w:tcPr>
          <w:p>
            <w:pPr>
              <w:jc w:val="center"/>
            </w:pPr>
            <w:r/>
            <w:r>
              <w:rPr>
                <w:b w:val="0"/>
              </w:rPr>
            </w:r>
          </w:p>
        </w:tc>
      </w:tr>
      <w:tr w:rsidR="006853A9" w:rsidRPr="00801038" w14:paraId="66BBAA35" w14:textId="75871FC9" w:rsidTr="006853A9">
        <w:tc>
          <w:tcPr>
            <w:tcW w:w="1395" w:type="dxa"/>
            <w:vMerge/>
            <w:shd w:val="clear" w:color="auto" w:fill="F2F2F2" w:themeFill="background1" w:themeFillShade="F2"/>
          </w:tcPr>
          <w:p w14:paraId="58DCF252" w14:textId="77777777" w:rsidR="006853A9" w:rsidRPr="00A327ED" w:rsidRDefault="006853A9" w:rsidP="008E5B3A">
            <w:pPr>
              <w:pStyle w:val="00Body"/>
              <w:spacing w:before="20" w:after="20"/>
              <w:rPr>
                <w:rFonts w:ascii="Arial" w:hAnsi="Arial" w:cs="Arial"/>
                <w:b/>
                <w:sz w:val="20"/>
                <w:lang w:val="en-GB"/>
              </w:rPr>
            </w:pPr>
          </w:p>
        </w:tc>
        <w:tc>
          <w:tcPr>
            <w:tcW w:w="2745" w:type="dxa"/>
          </w:tcPr>
          <w:p>
            <w:pPr>
              <w:jc w:val="center"/>
            </w:pPr>
            <w:r/>
            <w:r>
              <w:rPr>
                <w:b w:val="0"/>
              </w:rPr>
              <w:t>Digital self-service rate</w:t>
            </w:r>
          </w:p>
        </w:tc>
        <w:tc>
          <w:tcPr>
            <w:tcW w:w="989" w:type="dxa"/>
          </w:tcPr>
          <w:p>
            <w:pPr>
              <w:jc w:val="center"/>
            </w:pPr>
            <w:r/>
            <w:r>
              <w:rPr>
                <w:b w:val="0"/>
              </w:rPr>
              <w:t>65%</w:t>
            </w:r>
          </w:p>
        </w:tc>
        <w:tc>
          <w:tcPr>
            <w:tcW w:w="350" w:type="dxa"/>
          </w:tcPr>
          <w:p>
            <w:pPr>
              <w:jc w:val="center"/>
            </w:pPr>
            <w:r/>
            <w:r>
              <w:rPr>
                <w:color w:val="C00000"/>
              </w:rPr>
              <w:t>●</w:t>
            </w:r>
          </w:p>
        </w:tc>
        <w:tc>
          <w:tcPr>
            <w:tcW w:w="883" w:type="dxa"/>
          </w:tcPr>
          <w:p>
            <w:pPr>
              <w:jc w:val="center"/>
            </w:pPr>
            <w:r/>
            <w:r>
              <w:rPr>
                <w:b w:val="0"/>
              </w:rPr>
              <w:t>72%</w:t>
            </w:r>
          </w:p>
        </w:tc>
        <w:tc>
          <w:tcPr>
            <w:tcW w:w="883" w:type="dxa"/>
          </w:tcPr>
          <w:p>
            <w:pPr>
              <w:jc w:val="center"/>
            </w:pPr>
            <w:r/>
            <w:r>
              <w:rPr>
                <w:b w:val="0"/>
              </w:rPr>
              <w:t>75%</w:t>
            </w:r>
          </w:p>
        </w:tc>
        <w:tc>
          <w:tcPr>
            <w:tcW w:w="909" w:type="dxa"/>
          </w:tcPr>
          <w:p>
            <w:pPr>
              <w:jc w:val="center"/>
            </w:pPr>
            <w:r/>
            <w:r>
              <w:rPr>
                <w:b w:val="0"/>
              </w:rPr>
              <w:t>65%</w:t>
            </w:r>
          </w:p>
        </w:tc>
        <w:tc>
          <w:tcPr>
            <w:tcW w:w="840" w:type="dxa"/>
          </w:tcPr>
          <w:p>
            <w:pPr>
              <w:jc w:val="center"/>
            </w:pPr>
            <w:r/>
            <w:r>
              <w:rPr>
                <w:b w:val="0"/>
              </w:rPr>
              <w:t>75%</w:t>
            </w:r>
          </w:p>
        </w:tc>
        <w:tc>
          <w:tcPr>
            <w:tcW w:w="1463" w:type="dxa"/>
          </w:tcPr>
          <w:p>
            <w:pPr>
              <w:jc w:val="center"/>
            </w:pPr>
            <w:r/>
            <w:r>
              <w:rPr>
                <w:b w:val="0"/>
              </w:rPr>
              <w:t>PBB digital engagement rate</w:t>
            </w:r>
          </w:p>
        </w:tc>
      </w:tr>
      <w:tr w:rsidR="006853A9" w:rsidRPr="00801038" w14:paraId="160177D9" w14:textId="491F79FA" w:rsidTr="006853A9">
        <w:tc>
          <w:tcPr>
            <w:tcW w:w="1395" w:type="dxa"/>
            <w:vMerge w:val="restart"/>
            <w:shd w:val="clear" w:color="auto" w:fill="F2F2F2" w:themeFill="background1" w:themeFillShade="F2"/>
          </w:tcPr>
          <w:p>
            <w:pPr>
              <w:jc w:val="center"/>
            </w:pPr>
            <w:r/>
            <w:r>
              <w:rPr>
                <w:b w:val="0"/>
              </w:rPr>
              <w:t>Operational Performance</w:t>
            </w:r>
          </w:p>
        </w:tc>
        <w:tc>
          <w:tcPr>
            <w:tcW w:w="2745" w:type="dxa"/>
          </w:tcPr>
          <w:p>
            <w:pPr>
              <w:jc w:val="center"/>
            </w:pPr>
            <w:r/>
            <w:r>
              <w:rPr>
                <w:b w:val="0"/>
              </w:rPr>
              <w:t>Approval-to-funding cycle time</w:t>
            </w:r>
          </w:p>
        </w:tc>
        <w:tc>
          <w:tcPr>
            <w:tcW w:w="989" w:type="dxa"/>
          </w:tcPr>
          <w:p>
            <w:pPr>
              <w:jc w:val="center"/>
            </w:pPr>
            <w:r/>
            <w:r>
              <w:rPr>
                <w:b w:val="0"/>
              </w:rPr>
              <w:t>18.5 days</w:t>
            </w:r>
          </w:p>
        </w:tc>
        <w:tc>
          <w:tcPr>
            <w:tcW w:w="350" w:type="dxa"/>
          </w:tcPr>
          <w:p>
            <w:pPr>
              <w:jc w:val="center"/>
            </w:pPr>
            <w:r/>
            <w:r>
              <w:rPr>
                <w:color w:val="C00000"/>
              </w:rPr>
              <w:t>●</w:t>
            </w:r>
          </w:p>
        </w:tc>
        <w:tc>
          <w:tcPr>
            <w:tcW w:w="883" w:type="dxa"/>
          </w:tcPr>
          <w:p>
            <w:pPr>
              <w:jc w:val="center"/>
            </w:pPr>
            <w:r/>
            <w:r>
              <w:rPr>
                <w:b w:val="0"/>
              </w:rPr>
              <w:t>18.0 days</w:t>
            </w:r>
          </w:p>
        </w:tc>
        <w:tc>
          <w:tcPr>
            <w:tcW w:w="883" w:type="dxa"/>
          </w:tcPr>
          <w:p>
            <w:pPr>
              <w:jc w:val="center"/>
            </w:pPr>
            <w:r/>
            <w:r>
              <w:rPr>
                <w:b w:val="0"/>
              </w:rPr>
              <w:t>17.5 days</w:t>
            </w:r>
          </w:p>
        </w:tc>
        <w:tc>
          <w:tcPr>
            <w:tcW w:w="909" w:type="dxa"/>
          </w:tcPr>
          <w:p>
            <w:pPr>
              <w:jc w:val="center"/>
            </w:pPr>
            <w:r/>
            <w:r>
              <w:rPr>
                <w:b w:val="0"/>
              </w:rPr>
              <w:t>18.5 days</w:t>
            </w:r>
          </w:p>
        </w:tc>
        <w:tc>
          <w:tcPr>
            <w:tcW w:w="840" w:type="dxa"/>
          </w:tcPr>
          <w:p>
            <w:pPr>
              <w:jc w:val="center"/>
            </w:pPr>
            <w:r/>
            <w:r>
              <w:rPr>
                <w:b w:val="0"/>
              </w:rPr>
              <w:t>17.5 days</w:t>
            </w:r>
          </w:p>
        </w:tc>
        <w:tc>
          <w:tcPr>
            <w:tcW w:w="1463" w:type="dxa"/>
          </w:tcPr>
          <w:p>
            <w:pPr>
              <w:jc w:val="center"/>
            </w:pPr>
            <w:r/>
            <w:r>
              <w:rPr>
                <w:b w:val="0"/>
              </w:rPr>
              <w:t>PBB operational efficiency</w:t>
            </w:r>
          </w:p>
        </w:tc>
      </w:tr>
      <w:tr w:rsidR="006853A9" w:rsidRPr="00801038" w14:paraId="1E4B8437" w14:textId="6DFCD626" w:rsidTr="006853A9">
        <w:tc>
          <w:tcPr>
            <w:tcW w:w="1395" w:type="dxa"/>
            <w:vMerge/>
            <w:shd w:val="clear" w:color="auto" w:fill="F2F2F2" w:themeFill="background1" w:themeFillShade="F2"/>
          </w:tcPr>
          <w:p w14:paraId="515F6A9E" w14:textId="77777777" w:rsidR="006853A9" w:rsidRPr="00A327ED" w:rsidRDefault="006853A9" w:rsidP="008E5B3A">
            <w:pPr>
              <w:pStyle w:val="00Body"/>
              <w:spacing w:before="20" w:after="20"/>
              <w:rPr>
                <w:rFonts w:ascii="Arial" w:hAnsi="Arial" w:cs="Arial"/>
                <w:b/>
                <w:sz w:val="20"/>
                <w:lang w:val="en-GB"/>
              </w:rPr>
            </w:pPr>
          </w:p>
        </w:tc>
        <w:tc>
          <w:tcPr>
            <w:tcW w:w="2745" w:type="dxa"/>
          </w:tcPr>
          <w:p>
            <w:pPr>
              <w:jc w:val="center"/>
            </w:pPr>
            <w:r/>
            <w:r>
              <w:rPr>
                <w:b w:val="0"/>
              </w:rPr>
              <w:t>Manual review volume (vs. baseline)</w:t>
            </w:r>
          </w:p>
        </w:tc>
        <w:tc>
          <w:tcPr>
            <w:tcW w:w="989" w:type="dxa"/>
          </w:tcPr>
          <w:p>
            <w:pPr>
              <w:jc w:val="center"/>
            </w:pPr>
            <w:r/>
            <w:r>
              <w:rPr>
                <w:b w:val="0"/>
              </w:rPr>
              <w:t>-15%</w:t>
            </w:r>
          </w:p>
        </w:tc>
        <w:tc>
          <w:tcPr>
            <w:tcW w:w="350" w:type="dxa"/>
          </w:tcPr>
          <w:p>
            <w:pPr>
              <w:jc w:val="center"/>
            </w:pPr>
            <w:r/>
            <w:r>
              <w:rPr>
                <w:color w:val="008000"/>
              </w:rPr>
              <w:t>●</w:t>
            </w:r>
          </w:p>
        </w:tc>
        <w:tc>
          <w:tcPr>
            <w:tcW w:w="883" w:type="dxa"/>
          </w:tcPr>
          <w:p>
            <w:pPr>
              <w:jc w:val="center"/>
            </w:pPr>
            <w:r/>
            <w:r>
              <w:rPr>
                <w:b w:val="0"/>
              </w:rPr>
              <w:t>-35% cumulative</w:t>
            </w:r>
          </w:p>
        </w:tc>
        <w:tc>
          <w:tcPr>
            <w:tcW w:w="883" w:type="dxa"/>
          </w:tcPr>
          <w:p>
            <w:pPr>
              <w:jc w:val="center"/>
            </w:pPr>
            <w:r/>
            <w:r>
              <w:rPr>
                <w:b w:val="0"/>
              </w:rPr>
              <w:t>-40% cumulative</w:t>
            </w:r>
          </w:p>
        </w:tc>
        <w:tc>
          <w:tcPr>
            <w:tcW w:w="909" w:type="dxa"/>
          </w:tcPr>
          <w:p>
            <w:pPr>
              <w:jc w:val="center"/>
            </w:pPr>
            <w:r/>
            <w:r>
              <w:rPr>
                <w:b w:val="0"/>
              </w:rPr>
              <w:t>-15%</w:t>
            </w:r>
          </w:p>
        </w:tc>
        <w:tc>
          <w:tcPr>
            <w:tcW w:w="840" w:type="dxa"/>
          </w:tcPr>
          <w:p>
            <w:pPr>
              <w:jc w:val="center"/>
            </w:pPr>
            <w:r/>
            <w:r>
              <w:rPr>
                <w:b w:val="0"/>
              </w:rPr>
              <w:t>-40% cumulative</w:t>
            </w:r>
          </w:p>
        </w:tc>
        <w:tc>
          <w:tcPr>
            <w:tcW w:w="1463" w:type="dxa"/>
          </w:tcPr>
          <w:p>
            <w:pPr>
              <w:jc w:val="center"/>
            </w:pPr>
            <w:r/>
            <w:r>
              <w:rPr>
                <w:b w:val="0"/>
              </w:rPr>
            </w:r>
          </w:p>
        </w:tc>
      </w:tr>
      <w:tr w:rsidR="006853A9" w:rsidRPr="00801038" w14:paraId="25C73BDE" w14:textId="60914209" w:rsidTr="006853A9">
        <w:tc>
          <w:tcPr>
            <w:tcW w:w="1395" w:type="dxa"/>
            <w:shd w:val="clear" w:color="auto" w:fill="F2F2F2" w:themeFill="background1" w:themeFillShade="F2"/>
          </w:tcPr>
          <w:p>
            <w:pPr>
              <w:jc w:val="center"/>
            </w:pPr>
            <w:r/>
            <w:r>
              <w:rPr>
                <w:b w:val="0"/>
              </w:rPr>
              <w:t>People</w:t>
            </w:r>
          </w:p>
        </w:tc>
        <w:tc>
          <w:tcPr>
            <w:tcW w:w="2745" w:type="dxa"/>
          </w:tcPr>
          <w:p>
            <w:pPr>
              <w:jc w:val="center"/>
            </w:pPr>
            <w:r/>
            <w:r>
              <w:rPr>
                <w:b w:val="0"/>
              </w:rPr>
              <w:t>To be confirmed</w:t>
            </w:r>
          </w:p>
        </w:tc>
        <w:tc>
          <w:tcPr>
            <w:tcW w:w="989" w:type="dxa"/>
          </w:tcPr>
          <w:p>
            <w:pPr>
              <w:jc w:val="center"/>
            </w:pPr>
            <w:r/>
            <w:r>
              <w:rPr>
                <w:b w:val="0"/>
              </w:rPr>
            </w:r>
          </w:p>
        </w:tc>
        <w:tc>
          <w:tcPr>
            <w:tcW w:w="350" w:type="dxa"/>
          </w:tcPr>
          <w:p>
            <w:pPr>
              <w:jc w:val="center"/>
            </w:pPr>
            <w:r/>
            <w:r>
              <w:rPr>
                <w:color w:val="C00000"/>
              </w:rPr>
              <w:t>●</w:t>
            </w:r>
          </w:p>
        </w:tc>
        <w:tc>
          <w:tcPr>
            <w:tcW w:w="883" w:type="dxa"/>
          </w:tcPr>
          <w:p>
            <w:pPr>
              <w:jc w:val="center"/>
            </w:pPr>
            <w:r/>
            <w:r>
              <w:rPr>
                <w:b w:val="0"/>
              </w:rPr>
            </w:r>
          </w:p>
        </w:tc>
        <w:tc>
          <w:tcPr>
            <w:tcW w:w="883" w:type="dxa"/>
          </w:tcPr>
          <w:p>
            <w:pPr>
              <w:jc w:val="center"/>
            </w:pPr>
            <w:r/>
            <w:r>
              <w:rPr>
                <w:b w:val="0"/>
              </w:rPr>
            </w:r>
          </w:p>
        </w:tc>
        <w:tc>
          <w:tcPr>
            <w:tcW w:w="909" w:type="dxa"/>
          </w:tcPr>
          <w:p>
            <w:pPr>
              <w:jc w:val="center"/>
            </w:pPr>
            <w:r/>
            <w:r>
              <w:rPr>
                <w:b w:val="0"/>
              </w:rPr>
            </w:r>
          </w:p>
        </w:tc>
        <w:tc>
          <w:tcPr>
            <w:tcW w:w="840" w:type="dxa"/>
          </w:tcPr>
          <w:p>
            <w:pPr>
              <w:jc w:val="center"/>
            </w:pPr>
            <w:r/>
            <w:r>
              <w:rPr>
                <w:b w:val="0"/>
              </w:rPr>
            </w:r>
          </w:p>
        </w:tc>
        <w:tc>
          <w:tcPr>
            <w:tcW w:w="1463" w:type="dxa"/>
          </w:tcPr>
          <w:p>
            <w:pPr>
              <w:jc w:val="center"/>
            </w:pPr>
            <w:r/>
            <w:r>
              <w:rPr>
                <w:b w:val="0"/>
              </w:rPr>
            </w:r>
          </w:p>
        </w:tc>
      </w:tr>
      <w:tr w:rsidR="006853A9" w:rsidRPr="00801038" w14:paraId="6527BBBA" w14:textId="250C18B0" w:rsidTr="006853A9">
        <w:tc>
          <w:tcPr>
            <w:tcW w:w="1395" w:type="dxa"/>
            <w:vMerge w:val="restart"/>
            <w:shd w:val="clear" w:color="auto" w:fill="F2F2F2" w:themeFill="background1" w:themeFillShade="F2"/>
          </w:tcPr>
          <w:p>
            <w:pPr>
              <w:jc w:val="center"/>
            </w:pPr>
            <w:r/>
            <w:r>
              <w:rPr>
                <w:b w:val="0"/>
              </w:rPr>
              <w:t>Financial Impact</w:t>
            </w:r>
          </w:p>
        </w:tc>
        <w:tc>
          <w:tcPr>
            <w:tcW w:w="2745" w:type="dxa"/>
          </w:tcPr>
          <w:p>
            <w:pPr>
              <w:jc w:val="center"/>
            </w:pPr>
            <w:r/>
            <w:r>
              <w:rPr>
                <w:b w:val="0"/>
              </w:rPr>
              <w:t>Inbound call volume reduction (vs. baseline)</w:t>
            </w:r>
          </w:p>
        </w:tc>
        <w:tc>
          <w:tcPr>
            <w:tcW w:w="989" w:type="dxa"/>
          </w:tcPr>
          <w:p>
            <w:pPr>
              <w:jc w:val="center"/>
            </w:pPr>
            <w:r/>
            <w:r>
              <w:rPr>
                <w:b w:val="0"/>
              </w:rPr>
              <w:t>-10%</w:t>
            </w:r>
          </w:p>
        </w:tc>
        <w:tc>
          <w:tcPr>
            <w:tcW w:w="350" w:type="dxa"/>
          </w:tcPr>
          <w:p>
            <w:pPr>
              <w:jc w:val="center"/>
            </w:pPr>
            <w:r/>
            <w:r>
              <w:rPr>
                <w:color w:val="008000"/>
              </w:rPr>
              <w:t>●</w:t>
            </w:r>
          </w:p>
        </w:tc>
        <w:tc>
          <w:tcPr>
            <w:tcW w:w="883" w:type="dxa"/>
          </w:tcPr>
          <w:p>
            <w:pPr>
              <w:jc w:val="center"/>
            </w:pPr>
            <w:r/>
            <w:r>
              <w:rPr>
                <w:b w:val="0"/>
              </w:rPr>
              <w:t>-20% cumulative</w:t>
            </w:r>
          </w:p>
        </w:tc>
        <w:tc>
          <w:tcPr>
            <w:tcW w:w="883" w:type="dxa"/>
          </w:tcPr>
          <w:p>
            <w:pPr>
              <w:jc w:val="center"/>
            </w:pPr>
            <w:r/>
            <w:r>
              <w:rPr>
                <w:b w:val="0"/>
              </w:rPr>
              <w:t>-30% cumulative</w:t>
            </w:r>
          </w:p>
        </w:tc>
        <w:tc>
          <w:tcPr>
            <w:tcW w:w="909" w:type="dxa"/>
          </w:tcPr>
          <w:p>
            <w:pPr>
              <w:jc w:val="center"/>
            </w:pPr>
            <w:r/>
            <w:r>
              <w:rPr>
                <w:b w:val="0"/>
              </w:rPr>
              <w:t>-10%</w:t>
            </w:r>
          </w:p>
        </w:tc>
        <w:tc>
          <w:tcPr>
            <w:tcW w:w="840" w:type="dxa"/>
          </w:tcPr>
          <w:p>
            <w:pPr>
              <w:jc w:val="center"/>
            </w:pPr>
            <w:r/>
            <w:r>
              <w:rPr>
                <w:b w:val="0"/>
              </w:rPr>
              <w:t>-30% cumulative</w:t>
            </w:r>
          </w:p>
        </w:tc>
        <w:tc>
          <w:tcPr>
            <w:tcW w:w="1463" w:type="dxa"/>
          </w:tcPr>
          <w:p>
            <w:pPr>
              <w:jc w:val="center"/>
            </w:pPr>
            <w:r/>
            <w:r>
              <w:rPr>
                <w:b w:val="0"/>
              </w:rPr>
              <w:t>Assisted service cost</w:t>
            </w:r>
          </w:p>
        </w:tc>
      </w:tr>
      <w:tr w:rsidR="006853A9" w:rsidRPr="00801038" w14:paraId="5024658A" w14:textId="4791A865" w:rsidTr="006853A9">
        <w:tc>
          <w:tcPr>
            <w:tcW w:w="1395" w:type="dxa"/>
            <w:vMerge/>
            <w:shd w:val="clear" w:color="auto" w:fill="F2F2F2" w:themeFill="background1" w:themeFillShade="F2"/>
          </w:tcPr>
          <w:p w14:paraId="4059C136" w14:textId="77777777" w:rsidR="006853A9" w:rsidRPr="00A327ED" w:rsidRDefault="006853A9" w:rsidP="00771FD7">
            <w:pPr>
              <w:pStyle w:val="00Body"/>
              <w:spacing w:before="20" w:after="20"/>
              <w:rPr>
                <w:rFonts w:ascii="Arial" w:hAnsi="Arial" w:cs="Arial"/>
                <w:b/>
                <w:sz w:val="20"/>
                <w:lang w:val="en-GB"/>
              </w:rPr>
            </w:pPr>
          </w:p>
        </w:tc>
        <w:tc>
          <w:tcPr>
            <w:tcW w:w="2745" w:type="dxa"/>
          </w:tcPr>
          <w:p>
            <w:pPr>
              <w:jc w:val="center"/>
            </w:pPr>
            <w:r/>
            <w:r>
              <w:rPr>
                <w:b w:val="0"/>
              </w:rPr>
              <w:t>NPS (cumulative improvement)</w:t>
            </w:r>
          </w:p>
        </w:tc>
        <w:tc>
          <w:tcPr>
            <w:tcW w:w="989" w:type="dxa"/>
          </w:tcPr>
          <w:p>
            <w:pPr>
              <w:jc w:val="center"/>
            </w:pPr>
            <w:r/>
            <w:r>
              <w:rPr>
                <w:b w:val="0"/>
              </w:rPr>
              <w:t>+1.5 pts</w:t>
            </w:r>
          </w:p>
        </w:tc>
        <w:tc>
          <w:tcPr>
            <w:tcW w:w="350" w:type="dxa"/>
          </w:tcPr>
          <w:p>
            <w:pPr>
              <w:jc w:val="center"/>
            </w:pPr>
            <w:r/>
            <w:r>
              <w:rPr>
                <w:color w:val="C00000"/>
              </w:rPr>
              <w:t>●</w:t>
            </w:r>
          </w:p>
        </w:tc>
        <w:tc>
          <w:tcPr>
            <w:tcW w:w="883" w:type="dxa"/>
          </w:tcPr>
          <w:p>
            <w:pPr>
              <w:jc w:val="center"/>
            </w:pPr>
            <w:r/>
            <w:r>
              <w:rPr>
                <w:b w:val="0"/>
              </w:rPr>
              <w:t>+3 pts</w:t>
            </w:r>
          </w:p>
        </w:tc>
        <w:tc>
          <w:tcPr>
            <w:tcW w:w="883" w:type="dxa"/>
          </w:tcPr>
          <w:p>
            <w:pPr>
              <w:jc w:val="center"/>
            </w:pPr>
            <w:r/>
            <w:r>
              <w:rPr>
                <w:b w:val="0"/>
              </w:rPr>
              <w:t>+5 pts</w:t>
            </w:r>
          </w:p>
        </w:tc>
        <w:tc>
          <w:tcPr>
            <w:tcW w:w="909" w:type="dxa"/>
          </w:tcPr>
          <w:p>
            <w:pPr>
              <w:jc w:val="center"/>
            </w:pPr>
            <w:r/>
            <w:r>
              <w:rPr>
                <w:b w:val="0"/>
              </w:rPr>
              <w:t>+1.5 pts</w:t>
            </w:r>
          </w:p>
        </w:tc>
        <w:tc>
          <w:tcPr>
            <w:tcW w:w="840" w:type="dxa"/>
          </w:tcPr>
          <w:p>
            <w:pPr>
              <w:jc w:val="center"/>
            </w:pPr>
            <w:r/>
            <w:r>
              <w:rPr>
                <w:b w:val="0"/>
              </w:rPr>
              <w:t>+5 pts</w:t>
            </w:r>
          </w:p>
        </w:tc>
        <w:tc>
          <w:tcPr>
            <w:tcW w:w="1463" w:type="dxa"/>
          </w:tcPr>
          <w:p>
            <w:pPr>
              <w:jc w:val="center"/>
            </w:pPr>
            <w:r/>
            <w:r>
              <w:rPr>
                <w:b w:val="0"/>
              </w:rPr>
              <w:t>PBB NPS</w:t>
            </w:r>
          </w:p>
        </w:tc>
      </w:tr>
    </w:tbl>
    <w:p w14:paraId="5CD26E4E" w14:textId="77777777" w:rsidR="00745343" w:rsidRDefault="00745343" w:rsidP="00421C18">
      <w:pPr>
        <w:pStyle w:val="20MajorH1"/>
        <w:ind w:left="658" w:hanging="658"/>
        <w:rPr>
          <w:rFonts w:ascii="Arial" w:hAnsi="Arial" w:cs="Arial"/>
          <w:lang w:val="en-GB"/>
        </w:rPr>
      </w:pPr>
    </w:p>
    <w:p w14:paraId="6A8591DE" w14:textId="77777777" w:rsidR="00745343" w:rsidRDefault="00745343">
      <w:pPr>
        <w:spacing w:line="259" w:lineRule="auto"/>
        <w:rPr>
          <w:rFonts w:ascii="Arial" w:eastAsia="Times New Roman" w:hAnsi="Arial" w:cs="Arial"/>
          <w:b/>
          <w:color w:val="C41F3E"/>
          <w:kern w:val="28"/>
          <w:sz w:val="32"/>
          <w:szCs w:val="20"/>
          <w:lang w:val="en-GB"/>
          <w14:numForm w14:val="lining"/>
        </w:rPr>
      </w:pPr>
      <w:r>
        <w:rPr>
          <w:rFonts w:ascii="Arial" w:hAnsi="Arial" w:cs="Arial"/>
          <w:lang w:val="en-GB"/>
        </w:rPr>
        <w:br w:type="page"/>
      </w:r>
    </w:p>
    <w:p w14:paraId="5EC054E8" w14:textId="45BA8504" w:rsidR="00721922" w:rsidRPr="00F72369" w:rsidRDefault="00721922" w:rsidP="00721922">
      <w:pPr>
        <w:pStyle w:val="20MajorH1"/>
        <w:ind w:left="658" w:hanging="658"/>
        <w:rPr>
          <w:rFonts w:ascii="Arial" w:hAnsi="Arial" w:cs="Arial"/>
          <w:lang w:val="en-GB"/>
        </w:rPr>
      </w:pPr>
      <w:r w:rsidRPr="00F72369">
        <w:rPr>
          <w:rFonts w:ascii="Arial" w:hAnsi="Arial" w:cs="Arial"/>
          <w:lang w:val="en-GB"/>
        </w:rPr>
        <w:lastRenderedPageBreak/>
        <w:t>1.</w:t>
      </w:r>
      <w:r w:rsidR="00CE2947">
        <w:rPr>
          <w:rFonts w:ascii="Arial" w:hAnsi="Arial" w:cs="Arial"/>
          <w:lang w:val="en-GB"/>
        </w:rPr>
        <w:t>4</w:t>
      </w:r>
      <w:r w:rsidRPr="00F72369">
        <w:rPr>
          <w:rFonts w:ascii="Arial" w:hAnsi="Arial" w:cs="Arial"/>
          <w:lang w:val="en-GB"/>
        </w:rPr>
        <w:tab/>
      </w:r>
      <w:r w:rsidR="00C31168" w:rsidRPr="00C31168">
        <w:rPr>
          <w:rFonts w:ascii="Arial" w:hAnsi="Arial" w:cs="Arial"/>
          <w:lang w:val="en-AU"/>
        </w:rPr>
        <w:t xml:space="preserve">Key </w:t>
      </w:r>
      <w:r w:rsidR="00C31168">
        <w:rPr>
          <w:rFonts w:ascii="Arial" w:hAnsi="Arial" w:cs="Arial"/>
          <w:lang w:val="en-AU"/>
        </w:rPr>
        <w:t>Issues &amp;</w:t>
      </w:r>
      <w:r w:rsidR="00C31168" w:rsidRPr="00C31168">
        <w:rPr>
          <w:rFonts w:ascii="Arial" w:hAnsi="Arial" w:cs="Arial"/>
          <w:lang w:val="en-AU"/>
        </w:rPr>
        <w:t xml:space="preserve"> Dependencies</w:t>
      </w:r>
    </w:p>
    <w:p w14:paraId="13863AED" w14:textId="0ABD2CF0" w:rsidR="00BE4B8D" w:rsidRPr="00BE4B8D" w:rsidRDefault="00BE4B8D" w:rsidP="00BE4B8D">
      <w:pPr>
        <w:pStyle w:val="00Body"/>
        <w:rPr>
          <w:lang w:val="en-CA"/>
        </w:rPr>
      </w:pPr>
      <w:r w:rsidRPr="01CA055A">
        <w:rPr>
          <w:i/>
          <w:iCs/>
          <w:lang w:val="en-NZ"/>
        </w:rPr>
        <w:t>Outline the items that are dependent on other items being prioritised</w:t>
      </w:r>
      <w:r w:rsidRPr="01CA055A">
        <w:rPr>
          <w:i/>
          <w:iCs/>
          <w:lang w:val="en-AU"/>
        </w:rPr>
        <w:t xml:space="preserve"> external to the </w:t>
      </w:r>
      <w:r w:rsidR="71781CA3" w:rsidRPr="01CA055A">
        <w:rPr>
          <w:i/>
          <w:iCs/>
          <w:lang w:val="en-AU"/>
        </w:rPr>
        <w:t>Domain</w:t>
      </w:r>
      <w:r w:rsidRPr="01CA055A">
        <w:rPr>
          <w:i/>
          <w:iCs/>
          <w:lang w:val="en-AU"/>
        </w:rPr>
        <w:t>. To be populated from JIRA.</w:t>
      </w:r>
      <w:r w:rsidRPr="01CA055A">
        <w:rPr>
          <w:lang w:val="en-CA"/>
        </w:rPr>
        <w:t> </w:t>
      </w:r>
      <w:r w:rsidRPr="01CA055A">
        <w:rPr>
          <w:i/>
          <w:iCs/>
          <w:lang w:val="en-AU"/>
        </w:rPr>
        <w:t>Should only include Dependencies that require escalation.</w:t>
      </w:r>
      <w:r w:rsidRPr="01CA055A">
        <w:rPr>
          <w:lang w:val="en-CA"/>
        </w:rPr>
        <w:t> </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1975"/>
        <w:gridCol w:w="2699"/>
        <w:gridCol w:w="2922"/>
        <w:gridCol w:w="2861"/>
      </w:tblGrid>
      <w:tr w:rsidR="00AB275E" w:rsidRPr="00ED2797" w14:paraId="21BD05C0" w14:textId="02AFD5EB" w:rsidTr="01CA055A">
        <w:trPr>
          <w:tblHeader/>
        </w:trPr>
        <w:tc>
          <w:tcPr>
            <w:tcW w:w="1975" w:type="dxa"/>
            <w:shd w:val="clear" w:color="auto" w:fill="8B1D41"/>
          </w:tcPr>
          <w:p w14:paraId="09797745" w14:textId="7A217AAB" w:rsidR="00AB275E" w:rsidRPr="008329AE" w:rsidRDefault="00AB275E" w:rsidP="00AB275E">
            <w:pPr>
              <w:pStyle w:val="00Body"/>
              <w:spacing w:before="60" w:after="60" w:line="240" w:lineRule="auto"/>
              <w:rPr>
                <w:b/>
                <w:color w:val="FFFFFF" w:themeColor="background1"/>
                <w:szCs w:val="22"/>
                <w:lang w:val="en-AU"/>
              </w:rPr>
            </w:pPr>
            <w:r>
              <w:rPr>
                <w:b/>
                <w:color w:val="FFFFFF" w:themeColor="background1"/>
                <w:szCs w:val="22"/>
                <w:lang w:val="en-AU"/>
              </w:rPr>
              <w:t>Tracking #</w:t>
            </w:r>
            <w:r w:rsidR="00DF5E61">
              <w:rPr>
                <w:b/>
                <w:color w:val="FFFFFF" w:themeColor="background1"/>
                <w:szCs w:val="22"/>
                <w:lang w:val="en-AU"/>
              </w:rPr>
              <w:t xml:space="preserve"> &amp; Type</w:t>
            </w:r>
          </w:p>
        </w:tc>
        <w:tc>
          <w:tcPr>
            <w:tcW w:w="2699" w:type="dxa"/>
            <w:shd w:val="clear" w:color="auto" w:fill="8B1D41"/>
            <w:hideMark/>
          </w:tcPr>
          <w:p w14:paraId="10A0B21A" w14:textId="58AD3FE7" w:rsidR="00AB275E" w:rsidRPr="001F2393" w:rsidRDefault="00AB275E" w:rsidP="00AB275E">
            <w:pPr>
              <w:pStyle w:val="00Body"/>
              <w:spacing w:before="60" w:after="60" w:line="240" w:lineRule="auto"/>
              <w:rPr>
                <w:b/>
                <w:color w:val="FFFFFF" w:themeColor="background1"/>
                <w:szCs w:val="22"/>
                <w:lang w:val="en-CA"/>
              </w:rPr>
            </w:pPr>
            <w:r w:rsidRPr="008329AE">
              <w:rPr>
                <w:b/>
                <w:color w:val="FFFFFF" w:themeColor="background1"/>
                <w:szCs w:val="22"/>
                <w:lang w:val="en-AU"/>
              </w:rPr>
              <w:t>Constraint or Dependency</w:t>
            </w:r>
          </w:p>
        </w:tc>
        <w:tc>
          <w:tcPr>
            <w:tcW w:w="2922" w:type="dxa"/>
            <w:shd w:val="clear" w:color="auto" w:fill="8B1D41"/>
            <w:hideMark/>
          </w:tcPr>
          <w:p w14:paraId="661DEC40" w14:textId="44579BB9" w:rsidR="00AB275E" w:rsidRPr="001F2393" w:rsidRDefault="00AB275E" w:rsidP="00AB275E">
            <w:pPr>
              <w:pStyle w:val="00Body"/>
              <w:spacing w:before="60" w:after="60" w:line="240" w:lineRule="auto"/>
              <w:rPr>
                <w:b/>
                <w:color w:val="FFFFFF" w:themeColor="background1"/>
                <w:szCs w:val="22"/>
                <w:lang w:val="en-CA"/>
              </w:rPr>
            </w:pPr>
            <w:r w:rsidRPr="00B05FB9">
              <w:rPr>
                <w:b/>
                <w:color w:val="FFFFFF" w:themeColor="background1"/>
                <w:szCs w:val="22"/>
                <w:lang w:val="en-AU"/>
              </w:rPr>
              <w:t>Required Action and Accountable Owner(s)</w:t>
            </w:r>
          </w:p>
        </w:tc>
        <w:tc>
          <w:tcPr>
            <w:tcW w:w="2861" w:type="dxa"/>
            <w:shd w:val="clear" w:color="auto" w:fill="8B1D41"/>
            <w:hideMark/>
          </w:tcPr>
          <w:p w14:paraId="24FD3A94" w14:textId="765350E0" w:rsidR="00AB275E" w:rsidRPr="001F2393" w:rsidRDefault="00AB275E" w:rsidP="00AB275E">
            <w:pPr>
              <w:pStyle w:val="00Body"/>
              <w:spacing w:before="60" w:after="60" w:line="240" w:lineRule="auto"/>
              <w:rPr>
                <w:b/>
                <w:color w:val="FFFFFF" w:themeColor="background1"/>
                <w:szCs w:val="22"/>
                <w:lang w:val="en-CA"/>
              </w:rPr>
            </w:pPr>
            <w:r w:rsidRPr="00CA3D22">
              <w:rPr>
                <w:b/>
                <w:color w:val="FFFFFF" w:themeColor="background1"/>
                <w:szCs w:val="22"/>
                <w:lang w:val="en-AU"/>
              </w:rPr>
              <w:t>Decision or Resolution Needed By</w:t>
            </w:r>
            <w:r w:rsidRPr="001F2393">
              <w:rPr>
                <w:b/>
                <w:color w:val="FFFFFF" w:themeColor="background1"/>
                <w:szCs w:val="22"/>
                <w:lang w:val="en-AU"/>
              </w:rPr>
              <w:t> </w:t>
            </w:r>
            <w:r w:rsidRPr="001F2393">
              <w:rPr>
                <w:b/>
                <w:color w:val="FFFFFF" w:themeColor="background1"/>
                <w:szCs w:val="22"/>
                <w:lang w:val="en-CA"/>
              </w:rPr>
              <w:t> </w:t>
            </w:r>
          </w:p>
        </w:tc>
      </w:tr>
      <w:tr w:rsidR="00AB275E" w:rsidRPr="000D61E3" w14:paraId="6D64A274" w14:textId="0C3A7DB9" w:rsidTr="01CA055A">
        <w:tc>
          <w:tcPr>
            <w:tcW w:w="1975" w:type="dxa"/>
          </w:tcPr>
          <w:p>
            <w:pPr>
              <w:jc w:val="left"/>
            </w:pPr>
            <w:r/>
            <w:r>
              <w:t>Jira: 12345</w:t>
            </w:r>
          </w:p>
        </w:tc>
        <w:tc>
          <w:tcPr>
            <w:tcW w:w="2699" w:type="dxa"/>
            <w:hideMark/>
          </w:tcPr>
          <w:p>
            <w:pPr>
              <w:jc w:val="left"/>
            </w:pPr>
            <w:r/>
            <w:r>
              <w:t>Early LTV and document validation services for approval-to-funding journey</w:t>
            </w:r>
          </w:p>
        </w:tc>
        <w:tc>
          <w:tcPr>
            <w:tcW w:w="2922" w:type="dxa"/>
            <w:hideMark/>
          </w:tcPr>
          <w:p>
            <w:pPr>
              <w:jc w:val="left"/>
            </w:pPr>
            <w:r/>
            <w:r>
              <w:t>Enterprise Credit to approve early-stage validation rules and tolerance thresholds</w:t>
            </w:r>
          </w:p>
        </w:tc>
        <w:tc>
          <w:tcPr>
            <w:tcW w:w="2861" w:type="dxa"/>
            <w:hideMark/>
          </w:tcPr>
          <w:p>
            <w:pPr>
              <w:jc w:val="left"/>
            </w:pPr>
            <w:r/>
            <w:r>
              <w:t>September</w:t>
            </w:r>
          </w:p>
        </w:tc>
      </w:tr>
    </w:tbl>
    <w:p w14:paraId="1667AB57" w14:textId="77777777" w:rsidR="000D61E3" w:rsidRDefault="000D61E3" w:rsidP="007E7CEC">
      <w:pPr>
        <w:pStyle w:val="20MajorH1"/>
        <w:ind w:left="658" w:hanging="658"/>
        <w:rPr>
          <w:rFonts w:ascii="Arial" w:hAnsi="Arial" w:cs="Arial"/>
          <w:lang w:val="en-GB"/>
        </w:rPr>
      </w:pPr>
    </w:p>
    <w:p w14:paraId="7DB6C54B" w14:textId="77777777" w:rsidR="000D61E3" w:rsidRDefault="000D61E3">
      <w:pPr>
        <w:spacing w:line="259" w:lineRule="auto"/>
        <w:rPr>
          <w:rFonts w:ascii="Arial" w:eastAsia="Times New Roman" w:hAnsi="Arial" w:cs="Arial"/>
          <w:b/>
          <w:color w:val="C41F3E"/>
          <w:kern w:val="28"/>
          <w:sz w:val="32"/>
          <w:szCs w:val="20"/>
          <w:lang w:val="en-GB"/>
          <w14:numForm w14:val="lining"/>
        </w:rPr>
      </w:pPr>
      <w:r>
        <w:rPr>
          <w:rFonts w:ascii="Arial" w:hAnsi="Arial" w:cs="Arial"/>
          <w:lang w:val="en-GB"/>
        </w:rPr>
        <w:br w:type="page"/>
      </w:r>
    </w:p>
    <w:p w14:paraId="23D9DA79" w14:textId="2224ED77" w:rsidR="007E7CEC" w:rsidRPr="001F2393" w:rsidRDefault="007E7CEC" w:rsidP="007E7CEC">
      <w:pPr>
        <w:pStyle w:val="20MajorH1"/>
        <w:ind w:left="658" w:hanging="658"/>
        <w:rPr>
          <w:rFonts w:ascii="Arial" w:hAnsi="Arial" w:cs="Arial"/>
          <w:lang w:val="en-GB"/>
        </w:rPr>
      </w:pPr>
      <w:r w:rsidRPr="001F2393">
        <w:rPr>
          <w:rFonts w:ascii="Arial" w:hAnsi="Arial" w:cs="Arial"/>
          <w:lang w:val="en-GB"/>
        </w:rPr>
        <w:lastRenderedPageBreak/>
        <w:t>1.</w:t>
      </w:r>
      <w:r w:rsidR="00CE2947">
        <w:rPr>
          <w:rFonts w:ascii="Arial" w:hAnsi="Arial" w:cs="Arial"/>
          <w:lang w:val="en-GB"/>
        </w:rPr>
        <w:t>5</w:t>
      </w:r>
      <w:r w:rsidRPr="001F2393">
        <w:rPr>
          <w:rFonts w:ascii="Arial" w:hAnsi="Arial" w:cs="Arial"/>
          <w:lang w:val="en-GB"/>
        </w:rPr>
        <w:tab/>
      </w:r>
      <w:r w:rsidR="00484BF2" w:rsidRPr="001F2393">
        <w:rPr>
          <w:rFonts w:ascii="Arial" w:hAnsi="Arial" w:cs="Arial"/>
          <w:lang w:val="en-GB"/>
        </w:rPr>
        <w:t>Risks</w:t>
      </w:r>
    </w:p>
    <w:p w14:paraId="779F1451" w14:textId="77777777" w:rsidR="00484BF2" w:rsidRPr="00484BF2" w:rsidRDefault="00484BF2" w:rsidP="00484BF2">
      <w:pPr>
        <w:pStyle w:val="00Body"/>
        <w:rPr>
          <w:i/>
          <w:iCs/>
          <w:lang w:val="en-NZ"/>
        </w:rPr>
      </w:pPr>
      <w:r w:rsidRPr="00484BF2">
        <w:rPr>
          <w:i/>
          <w:iCs/>
          <w:lang w:val="en-NZ"/>
        </w:rPr>
        <w:t xml:space="preserve">Outline the items that are risks or blockers that require solving by </w:t>
      </w:r>
      <w:r>
        <w:rPr>
          <w:i/>
          <w:iCs/>
          <w:lang w:val="en-NZ"/>
        </w:rPr>
        <w:t>PBB ELT &amp; Partners</w:t>
      </w:r>
      <w:r w:rsidRPr="00484BF2">
        <w:rPr>
          <w:i/>
          <w:iCs/>
          <w:lang w:val="en-NZ"/>
        </w:rPr>
        <w:t xml:space="preserve">. Should only include Risks that require escalation.  </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3901"/>
        <w:gridCol w:w="6556"/>
      </w:tblGrid>
      <w:tr w:rsidR="003033A2" w:rsidRPr="001F2393" w14:paraId="5419116F" w14:textId="77777777" w:rsidTr="01CA055A">
        <w:trPr>
          <w:trHeight w:val="404"/>
          <w:tblHeader/>
        </w:trPr>
        <w:tc>
          <w:tcPr>
            <w:tcW w:w="3901" w:type="dxa"/>
            <w:shd w:val="clear" w:color="auto" w:fill="8B1D41"/>
            <w:vAlign w:val="bottom"/>
            <w:hideMark/>
          </w:tcPr>
          <w:p w14:paraId="6AF126CE" w14:textId="77777777" w:rsidR="00A327ED" w:rsidRPr="001F2393" w:rsidRDefault="00A327ED" w:rsidP="00817814">
            <w:pPr>
              <w:pStyle w:val="00Body"/>
              <w:spacing w:before="60" w:after="60" w:line="240" w:lineRule="auto"/>
              <w:rPr>
                <w:b/>
                <w:color w:val="FFFFFF" w:themeColor="background1"/>
                <w:sz w:val="20"/>
                <w:lang w:val="en-CA"/>
              </w:rPr>
            </w:pPr>
            <w:r w:rsidRPr="001F2393">
              <w:rPr>
                <w:b/>
                <w:bCs/>
                <w:color w:val="FFFFFF" w:themeColor="background1"/>
                <w:sz w:val="20"/>
                <w:lang w:val="en-NZ"/>
              </w:rPr>
              <w:t>Risks/ Blockers</w:t>
            </w:r>
          </w:p>
        </w:tc>
        <w:tc>
          <w:tcPr>
            <w:tcW w:w="6556" w:type="dxa"/>
            <w:shd w:val="clear" w:color="auto" w:fill="8B1D41"/>
            <w:vAlign w:val="bottom"/>
            <w:hideMark/>
          </w:tcPr>
          <w:p w14:paraId="406A9669" w14:textId="77777777" w:rsidR="00A327ED" w:rsidRPr="001F2393" w:rsidRDefault="00A327ED" w:rsidP="00817814">
            <w:pPr>
              <w:pStyle w:val="00Body"/>
              <w:spacing w:before="60" w:after="60" w:line="240" w:lineRule="auto"/>
              <w:rPr>
                <w:b/>
                <w:color w:val="FFFFFF" w:themeColor="background1"/>
                <w:sz w:val="20"/>
                <w:lang w:val="en-CA"/>
              </w:rPr>
            </w:pPr>
            <w:r w:rsidRPr="001F2393">
              <w:rPr>
                <w:b/>
                <w:bCs/>
                <w:color w:val="FFFFFF" w:themeColor="background1"/>
                <w:sz w:val="20"/>
                <w:lang w:val="en-NZ"/>
              </w:rPr>
              <w:t>Asks for PBB ELT &amp; Partners</w:t>
            </w:r>
          </w:p>
        </w:tc>
      </w:tr>
      <w:tr w:rsidR="00A327ED" w:rsidRPr="001F2393" w14:paraId="16F3A28F" w14:textId="77777777" w:rsidTr="01CA055A">
        <w:trPr>
          <w:trHeight w:val="404"/>
        </w:trPr>
        <w:tc>
          <w:tcPr>
            <w:tcW w:w="3901" w:type="dxa"/>
            <w:hideMark/>
          </w:tcPr>
          <w:p>
            <w:r>
              <w:t>"Funding-ready" lacks a consistent, shared definition across teams and channels, leading to inconsistent customer guidance, cautious decision-making, and duplicated indicators that create confusion rather than clarity. If unresolved, this will limit the impact of self-service improvements and create quality risk as we scale.</w:t>
            </w:r>
          </w:p>
        </w:tc>
        <w:tc>
          <w:tcPr>
            <w:tcW w:w="6556" w:type="dxa"/>
            <w:hideMark/>
          </w:tcPr>
          <w:p>
            <w:r>
              <w:t>Endorse a single, authoritative definition of "funding-ready" as the primary decision point across all channels and teams. Support consistent application of this definition, including retiring familiar but duplicative indicators where they conflict.</w:t>
            </w:r>
          </w:p>
        </w:tc>
      </w:tr>
      <w:tr w:rsidR="00A327ED" w:rsidRPr="001F2393" w14:paraId="3E1921E5" w14:textId="77777777" w:rsidTr="01CA055A">
        <w:trPr>
          <w:trHeight w:val="404"/>
        </w:trPr>
        <w:tc>
          <w:tcPr>
            <w:tcW w:w="3901" w:type="dxa"/>
            <w:hideMark/>
          </w:tcPr>
          <w:p>
            <w:r>
              <w:t>Improvement gains risk plateauing if edge cases are not addressed as a deliberate priority. Q1 wins were concentrated in standard journeys. Edge cases -- which carry higher manual effort, longer cycle time, and higher drop-off -- are not yet within scope of existing initiatives and will become the binding constraint on further conversion and NPS improvement.</w:t>
            </w:r>
          </w:p>
        </w:tc>
        <w:tc>
          <w:tcPr>
            <w:tcW w:w="6556" w:type="dxa"/>
            <w:hideMark/>
          </w:tcPr>
          <w:p>
            <w:r>
              <w:t>Align on prioritising end-to-end journey optimisation over siloed, within-team efficiency gains. Direct relevant domains (Credit, Approval, Digital) to treat edge-case resolution as a shared, cross-domain objective rather than a secondary backlog item.</w:t>
            </w:r>
          </w:p>
        </w:tc>
      </w:tr>
    </w:tbl>
    <w:p w14:paraId="6B705050" w14:textId="77777777" w:rsidR="00CE2947" w:rsidRDefault="00CE2947" w:rsidP="00CE2947">
      <w:pPr>
        <w:pBdr>
          <w:bottom w:val="single" w:sz="6" w:space="1" w:color="8B1D41"/>
        </w:pBdr>
        <w:spacing w:after="180" w:line="264" w:lineRule="auto"/>
        <w:rPr>
          <w:rFonts w:ascii="Arial (Body)" w:eastAsia="Times New Roman" w:hAnsi="Arial (Body)" w:cs="Times New Roman"/>
          <w:szCs w:val="20"/>
          <w:lang w:val="en-US"/>
        </w:rPr>
      </w:pPr>
    </w:p>
    <w:p w14:paraId="7FD3CC73" w14:textId="77777777" w:rsidR="003B4C4F" w:rsidRDefault="003B4C4F" w:rsidP="00CE2947">
      <w:pPr>
        <w:pBdr>
          <w:bottom w:val="single" w:sz="6" w:space="1" w:color="8B1D41"/>
        </w:pBdr>
        <w:spacing w:after="180" w:line="264" w:lineRule="auto"/>
        <w:rPr>
          <w:rFonts w:ascii="Arial (Body)" w:eastAsia="Times New Roman" w:hAnsi="Arial (Body)" w:cs="Times New Roman"/>
          <w:szCs w:val="20"/>
          <w:lang w:val="en-US"/>
        </w:rPr>
      </w:pPr>
    </w:p>
    <w:p w14:paraId="2B4D9F21" w14:textId="77777777" w:rsidR="000D61E3" w:rsidRDefault="000D61E3">
      <w:pPr>
        <w:spacing w:line="259" w:lineRule="auto"/>
        <w:rPr>
          <w:rFonts w:ascii="Arial" w:eastAsia="Times New Roman" w:hAnsi="Arial" w:cs="Arial"/>
          <w:b/>
          <w:color w:val="C41F3E"/>
          <w:kern w:val="28"/>
          <w:sz w:val="32"/>
          <w:szCs w:val="20"/>
          <w:lang w:val="en-GB"/>
          <w14:numForm w14:val="lining"/>
        </w:rPr>
      </w:pPr>
      <w:r>
        <w:rPr>
          <w:rFonts w:ascii="Arial" w:hAnsi="Arial" w:cs="Arial"/>
          <w:lang w:val="en-GB"/>
        </w:rPr>
        <w:br w:type="page"/>
      </w:r>
    </w:p>
    <w:p w14:paraId="69131A0E" w14:textId="67BBD0FE" w:rsidR="00CE2947" w:rsidRPr="001F2393" w:rsidRDefault="00CE2947" w:rsidP="00CE2947">
      <w:pPr>
        <w:pStyle w:val="20MajorH1"/>
        <w:ind w:left="658" w:hanging="658"/>
        <w:rPr>
          <w:rFonts w:ascii="Arial" w:hAnsi="Arial" w:cs="Arial"/>
          <w:lang w:val="en-GB"/>
        </w:rPr>
      </w:pPr>
      <w:r>
        <w:rPr>
          <w:rFonts w:ascii="Arial" w:hAnsi="Arial" w:cs="Arial"/>
          <w:lang w:val="en-GB"/>
        </w:rPr>
        <w:lastRenderedPageBreak/>
        <w:t>Appendix</w:t>
      </w:r>
    </w:p>
    <w:p w14:paraId="6D3EC873" w14:textId="5564F1D5" w:rsidR="00CE2947" w:rsidRPr="001F2393" w:rsidRDefault="00CE2947" w:rsidP="00CE2947">
      <w:pPr>
        <w:pStyle w:val="20MajorH1"/>
        <w:ind w:left="658" w:hanging="658"/>
        <w:rPr>
          <w:rFonts w:ascii="Arial" w:hAnsi="Arial" w:cs="Arial"/>
          <w:lang w:val="en-GB"/>
        </w:rPr>
      </w:pPr>
      <w:r>
        <w:t>Appendix: Q3 Initiatives</w:t>
      </w:r>
    </w:p>
    <w:p w14:paraId="788BEA71" w14:textId="39D2163E" w:rsidR="00CE2947" w:rsidRPr="00AD5E38" w:rsidRDefault="00CE2947" w:rsidP="3E6733D7">
      <w:pPr>
        <w:pStyle w:val="00Body"/>
        <w:rPr>
          <w:i/>
          <w:iCs/>
          <w:lang w:val="en-GB"/>
        </w:rPr>
      </w:pPr>
      <w:r w:rsidRPr="3E6733D7">
        <w:rPr>
          <w:i/>
          <w:iCs/>
          <w:lang w:val="en-GB"/>
        </w:rPr>
        <w:t xml:space="preserve">Each </w:t>
      </w:r>
      <w:r w:rsidR="357AA9D3" w:rsidRPr="3E6733D7">
        <w:rPr>
          <w:i/>
          <w:iCs/>
          <w:lang w:val="en-GB"/>
        </w:rPr>
        <w:t>Domain</w:t>
      </w:r>
      <w:r w:rsidRPr="3E6733D7">
        <w:rPr>
          <w:i/>
          <w:iCs/>
          <w:lang w:val="en-GB"/>
        </w:rPr>
        <w:t xml:space="preserve"> should identify the </w:t>
      </w:r>
      <w:r w:rsidR="5D70CFAE" w:rsidRPr="3E6733D7">
        <w:rPr>
          <w:i/>
          <w:iCs/>
          <w:lang w:val="en-GB"/>
        </w:rPr>
        <w:t>initiatives</w:t>
      </w:r>
      <w:r w:rsidRPr="3E6733D7">
        <w:rPr>
          <w:i/>
          <w:iCs/>
          <w:lang w:val="en-GB"/>
        </w:rPr>
        <w:t xml:space="preserve"> (</w:t>
      </w:r>
      <w:r w:rsidR="00944D0A">
        <w:rPr>
          <w:i/>
          <w:iCs/>
          <w:lang w:val="en-GB"/>
        </w:rPr>
        <w:t xml:space="preserve">Aim for </w:t>
      </w:r>
      <w:r w:rsidRPr="3E6733D7">
        <w:rPr>
          <w:i/>
          <w:iCs/>
          <w:lang w:val="en-GB"/>
        </w:rPr>
        <w:t xml:space="preserve">3, depending on size) that they will be working on in the coming quarter. </w:t>
      </w:r>
    </w:p>
    <w:tbl>
      <w:tblPr>
        <w:tblStyle w:val="TableGrid"/>
        <w:tblW w:w="1045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868"/>
        <w:gridCol w:w="1222"/>
        <w:gridCol w:w="1743"/>
        <w:gridCol w:w="1585"/>
        <w:gridCol w:w="1644"/>
        <w:gridCol w:w="1561"/>
        <w:gridCol w:w="1834"/>
      </w:tblGrid>
      <w:tr w:rsidR="00CE2947" w14:paraId="7B74132B" w14:textId="77777777" w:rsidTr="3E6733D7">
        <w:trPr>
          <w:tblHeader/>
        </w:trPr>
        <w:tc>
          <w:tcPr>
            <w:tcW w:w="810" w:type="dxa"/>
            <w:shd w:val="clear" w:color="auto" w:fill="8B1D41"/>
            <w:vAlign w:val="bottom"/>
          </w:tcPr>
          <w:p w14:paraId="2AADF3A7" w14:textId="66B20EA1" w:rsidR="00CE2947" w:rsidRPr="003033A2" w:rsidRDefault="2B6B146B" w:rsidP="3E6733D7">
            <w:pPr>
              <w:pStyle w:val="20MajorH1"/>
              <w:keepNext w:val="0"/>
              <w:spacing w:before="60" w:after="60" w:line="240" w:lineRule="auto"/>
              <w:rPr>
                <w:rFonts w:cs="Arial"/>
                <w:color w:val="FFFFFF" w:themeColor="background1"/>
                <w:sz w:val="20"/>
                <w:lang w:val="en-GB"/>
              </w:rPr>
            </w:pPr>
            <w:r w:rsidRPr="3E6733D7">
              <w:rPr>
                <w:rFonts w:cs="Arial"/>
                <w:color w:val="FFFFFF" w:themeColor="background1"/>
                <w:sz w:val="20"/>
                <w:lang w:val="en-GB"/>
              </w:rPr>
              <w:t>Initiative</w:t>
            </w:r>
            <w:r w:rsidR="00CE2947" w:rsidRPr="3E6733D7">
              <w:rPr>
                <w:rFonts w:cs="Arial"/>
                <w:color w:val="FFFFFF" w:themeColor="background1"/>
                <w:sz w:val="20"/>
                <w:lang w:val="en-GB"/>
              </w:rPr>
              <w:t xml:space="preserve"> ID</w:t>
            </w:r>
          </w:p>
        </w:tc>
        <w:tc>
          <w:tcPr>
            <w:tcW w:w="1224" w:type="dxa"/>
            <w:shd w:val="clear" w:color="auto" w:fill="8B1D41"/>
            <w:vAlign w:val="bottom"/>
          </w:tcPr>
          <w:p w14:paraId="6E691838" w14:textId="56BE07ED" w:rsidR="00CE2947" w:rsidRPr="003033A2" w:rsidRDefault="006D792E" w:rsidP="008E5B3A">
            <w:pPr>
              <w:pStyle w:val="20MajorH1"/>
              <w:keepNext w:val="0"/>
              <w:spacing w:before="60" w:after="60" w:line="240" w:lineRule="auto"/>
              <w:outlineLvl w:val="9"/>
              <w:rPr>
                <w:rFonts w:cs="Arial"/>
                <w:color w:val="FFFFFF" w:themeColor="background1"/>
                <w:sz w:val="20"/>
                <w:lang w:val="en-GB"/>
              </w:rPr>
            </w:pPr>
            <w:r>
              <w:rPr>
                <w:rFonts w:cs="Arial"/>
                <w:color w:val="FFFFFF" w:themeColor="background1"/>
                <w:sz w:val="20"/>
                <w:lang w:val="en-GB"/>
              </w:rPr>
              <w:t>Crews</w:t>
            </w:r>
          </w:p>
        </w:tc>
        <w:tc>
          <w:tcPr>
            <w:tcW w:w="1758" w:type="dxa"/>
            <w:shd w:val="clear" w:color="auto" w:fill="8B1D41"/>
            <w:vAlign w:val="bottom"/>
          </w:tcPr>
          <w:p w14:paraId="50D31248" w14:textId="10B1143E" w:rsidR="00CE2947" w:rsidRPr="003033A2" w:rsidRDefault="3E3ADCE9" w:rsidP="3E6733D7">
            <w:pPr>
              <w:pStyle w:val="20MajorH1"/>
              <w:keepNext w:val="0"/>
              <w:spacing w:before="60" w:after="60" w:line="240" w:lineRule="auto"/>
              <w:rPr>
                <w:rFonts w:cs="Arial"/>
                <w:color w:val="FFFFFF" w:themeColor="background1"/>
                <w:sz w:val="20"/>
                <w:lang w:val="en-GB"/>
              </w:rPr>
            </w:pPr>
            <w:r w:rsidRPr="3E6733D7">
              <w:rPr>
                <w:rFonts w:cs="Arial"/>
                <w:color w:val="FFFFFF" w:themeColor="background1"/>
                <w:sz w:val="20"/>
                <w:lang w:val="en-GB"/>
              </w:rPr>
              <w:t>Initiative</w:t>
            </w:r>
          </w:p>
        </w:tc>
        <w:tc>
          <w:tcPr>
            <w:tcW w:w="1595" w:type="dxa"/>
            <w:shd w:val="clear" w:color="auto" w:fill="8B1D41"/>
            <w:vAlign w:val="bottom"/>
          </w:tcPr>
          <w:p w14:paraId="4C712A66" w14:textId="77777777" w:rsidR="00CE2947" w:rsidRPr="003033A2" w:rsidRDefault="00CE2947" w:rsidP="008E5B3A">
            <w:pPr>
              <w:pStyle w:val="20MajorH1"/>
              <w:keepNext w:val="0"/>
              <w:spacing w:before="60" w:after="60" w:line="240" w:lineRule="auto"/>
              <w:outlineLvl w:val="9"/>
              <w:rPr>
                <w:rFonts w:cs="Arial"/>
                <w:color w:val="FFFFFF" w:themeColor="background1"/>
                <w:sz w:val="20"/>
                <w:lang w:val="en-GB"/>
              </w:rPr>
            </w:pPr>
            <w:r w:rsidRPr="003033A2">
              <w:rPr>
                <w:rFonts w:cs="Arial"/>
                <w:color w:val="FFFFFF" w:themeColor="background1"/>
                <w:sz w:val="20"/>
                <w:lang w:val="en-GB"/>
              </w:rPr>
              <w:t>Outcomes to be provided</w:t>
            </w:r>
          </w:p>
        </w:tc>
        <w:tc>
          <w:tcPr>
            <w:tcW w:w="1656" w:type="dxa"/>
            <w:shd w:val="clear" w:color="auto" w:fill="8B1D41"/>
            <w:vAlign w:val="bottom"/>
          </w:tcPr>
          <w:p w14:paraId="2C746785" w14:textId="77777777" w:rsidR="00CE2947" w:rsidRPr="003033A2" w:rsidRDefault="00CE2947" w:rsidP="008E5B3A">
            <w:pPr>
              <w:pStyle w:val="20MajorH1"/>
              <w:keepNext w:val="0"/>
              <w:spacing w:before="60" w:after="60" w:line="240" w:lineRule="auto"/>
              <w:outlineLvl w:val="9"/>
              <w:rPr>
                <w:rFonts w:cs="Arial"/>
                <w:color w:val="FFFFFF" w:themeColor="background1"/>
                <w:sz w:val="20"/>
                <w:lang w:val="en-GB"/>
              </w:rPr>
            </w:pPr>
            <w:r w:rsidRPr="003033A2">
              <w:rPr>
                <w:rFonts w:cs="Arial"/>
                <w:color w:val="FFFFFF" w:themeColor="background1"/>
                <w:sz w:val="20"/>
                <w:lang w:val="en-GB"/>
              </w:rPr>
              <w:t xml:space="preserve">Relevant OKRs </w:t>
            </w:r>
          </w:p>
        </w:tc>
        <w:tc>
          <w:tcPr>
            <w:tcW w:w="1567" w:type="dxa"/>
            <w:shd w:val="clear" w:color="auto" w:fill="8B1D41"/>
            <w:vAlign w:val="bottom"/>
          </w:tcPr>
          <w:p w14:paraId="08B41257" w14:textId="77777777" w:rsidR="00CE2947" w:rsidRPr="003033A2" w:rsidRDefault="00CE2947" w:rsidP="008E5B3A">
            <w:pPr>
              <w:pStyle w:val="20MajorH1"/>
              <w:keepNext w:val="0"/>
              <w:spacing w:before="60" w:after="60" w:line="240" w:lineRule="auto"/>
              <w:outlineLvl w:val="9"/>
              <w:rPr>
                <w:rFonts w:cs="Arial"/>
                <w:color w:val="FFFFFF" w:themeColor="background1"/>
                <w:sz w:val="20"/>
                <w:lang w:val="en-GB"/>
              </w:rPr>
            </w:pPr>
            <w:r w:rsidRPr="003033A2">
              <w:rPr>
                <w:rFonts w:cs="Arial"/>
                <w:color w:val="FFFFFF" w:themeColor="background1"/>
                <w:sz w:val="20"/>
                <w:lang w:val="en-GB"/>
              </w:rPr>
              <w:t>Confidence (H/M/L)</w:t>
            </w:r>
          </w:p>
        </w:tc>
        <w:tc>
          <w:tcPr>
            <w:tcW w:w="1847" w:type="dxa"/>
            <w:shd w:val="clear" w:color="auto" w:fill="8B1D41"/>
            <w:vAlign w:val="bottom"/>
          </w:tcPr>
          <w:p w14:paraId="7F304FD8" w14:textId="77777777" w:rsidR="00CE2947" w:rsidRPr="003033A2" w:rsidRDefault="00CE2947" w:rsidP="008E5B3A">
            <w:pPr>
              <w:pStyle w:val="20MajorH1"/>
              <w:keepNext w:val="0"/>
              <w:spacing w:before="60" w:after="60" w:line="240" w:lineRule="auto"/>
              <w:outlineLvl w:val="9"/>
              <w:rPr>
                <w:rFonts w:cs="Arial"/>
                <w:color w:val="FFFFFF" w:themeColor="background1"/>
                <w:sz w:val="20"/>
                <w:lang w:val="en-GB"/>
              </w:rPr>
            </w:pPr>
            <w:r w:rsidRPr="003033A2">
              <w:rPr>
                <w:rFonts w:cs="Arial"/>
                <w:color w:val="FFFFFF" w:themeColor="background1"/>
                <w:sz w:val="20"/>
                <w:lang w:val="en-GB"/>
              </w:rPr>
              <w:t xml:space="preserve">Key risks/ Dependencies </w:t>
            </w:r>
          </w:p>
        </w:tc>
      </w:tr>
      <w:tr w:rsidR="00CE2947" w14:paraId="13A833EF" w14:textId="77777777" w:rsidTr="3E6733D7">
        <w:tc>
          <w:tcPr>
            <w:tcW w:w="810" w:type="dxa"/>
          </w:tcPr>
          <w:p>
            <w:r>
              <w:t>1</w:t>
              <w:br/>
              <w:t>TBC</w:t>
            </w:r>
          </w:p>
        </w:tc>
        <w:tc>
          <w:tcPr>
            <w:tcW w:w="1224" w:type="dxa"/>
          </w:tcPr>
          <w:p>
            <w:r>
              <w:t>Lending Ops</w:t>
            </w:r>
          </w:p>
        </w:tc>
        <w:tc>
          <w:tcPr>
            <w:tcW w:w="1758" w:type="dxa"/>
          </w:tcPr>
          <w:p>
            <w:r>
              <w:t>Document Simplification Expansion</w:t>
            </w:r>
          </w:p>
        </w:tc>
        <w:tc>
          <w:tcPr>
            <w:tcW w:w="1595" w:type="dxa"/>
          </w:tcPr>
          <w:p>
            <w:r>
              <w:t>Reduced drop-off and improved conversion</w:t>
            </w:r>
          </w:p>
        </w:tc>
        <w:tc>
          <w:tcPr>
            <w:tcW w:w="1656" w:type="dxa"/>
          </w:tcPr>
          <w:p>
            <w:r>
              <w:t>O1: Improve funding conversion through friction reduction</w:t>
            </w:r>
          </w:p>
        </w:tc>
        <w:tc>
          <w:tcPr>
            <w:tcW w:w="1567" w:type="dxa"/>
          </w:tcPr>
          <w:p>
            <w:r>
              <w:t>High</w:t>
            </w:r>
          </w:p>
        </w:tc>
        <w:tc>
          <w:tcPr>
            <w:tcW w:w="1847" w:type="dxa"/>
          </w:tcPr>
          <w:p>
            <w:r>
              <w:t>Dependency on upstream Approval and Credit</w:t>
            </w:r>
          </w:p>
        </w:tc>
      </w:tr>
    </w:tbl>
    <w:p w14:paraId="634566F7" w14:textId="77777777" w:rsidR="00CE2947" w:rsidRPr="001F2393" w:rsidRDefault="00CE2947" w:rsidP="008C0D2D">
      <w:pPr>
        <w:pStyle w:val="00Body"/>
        <w:rPr>
          <w:sz w:val="20"/>
        </w:rPr>
      </w:pPr>
    </w:p>
    <w:sectPr w:rsidR="00CE2947" w:rsidRPr="001F2393" w:rsidSect="00117B41">
      <w:headerReference w:type="even" r:id="rId12"/>
      <w:headerReference w:type="default" r:id="rId13"/>
      <w:footerReference w:type="even" r:id="rId14"/>
      <w:footerReference w:type="default" r:id="rId15"/>
      <w:headerReference w:type="first" r:id="rId16"/>
      <w:footerReference w:type="first" r:id="rId17"/>
      <w:pgSz w:w="11907" w:h="16839"/>
      <w:pgMar w:top="1152" w:right="720" w:bottom="720" w:left="72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427C8" w14:textId="77777777" w:rsidR="0061696D" w:rsidRDefault="0061696D">
      <w:pPr>
        <w:spacing w:after="0" w:line="240" w:lineRule="auto"/>
      </w:pPr>
      <w:r>
        <w:separator/>
      </w:r>
    </w:p>
  </w:endnote>
  <w:endnote w:type="continuationSeparator" w:id="0">
    <w:p w14:paraId="7977D35C" w14:textId="77777777" w:rsidR="0061696D" w:rsidRDefault="0061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dy)">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subsetted="1" w:fontKey="{732D24AF-73B0-4837-98D2-CE5363D2CBB1}"/>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AEDC" w14:textId="77777777" w:rsidR="008A0CAF" w:rsidRDefault="008A0C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A70D" w14:textId="176AA372" w:rsidR="00B245B5" w:rsidRDefault="01CA055A" w:rsidP="66BF277C">
    <w:pPr>
      <w:pStyle w:val="Footer"/>
      <w:rPr>
        <w:noProof/>
      </w:rPr>
    </w:pPr>
    <w:r>
      <w:t>[Domain name] - [File name]</w:t>
    </w:r>
    <w:sdt>
      <w:sdtPr>
        <w:id w:val="-1369527286"/>
        <w:docPartObj>
          <w:docPartGallery w:val="Page Numbers (Bottom of Page)"/>
          <w:docPartUnique/>
        </w:docPartObj>
      </w:sdtPr>
      <w:sdtEndPr>
        <w:rPr>
          <w:noProof/>
        </w:rPr>
      </w:sdtEndPr>
      <w:sdtContent>
        <w:r w:rsidR="66BF277C">
          <w:tab/>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17AA" w14:textId="77777777" w:rsidR="008A0CAF" w:rsidRDefault="008A0C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4108F" w14:textId="77777777" w:rsidR="0061696D" w:rsidRDefault="0061696D">
      <w:pPr>
        <w:spacing w:after="0" w:line="240" w:lineRule="auto"/>
      </w:pPr>
      <w:r>
        <w:separator/>
      </w:r>
    </w:p>
  </w:footnote>
  <w:footnote w:type="continuationSeparator" w:id="0">
    <w:p w14:paraId="225E0321" w14:textId="77777777" w:rsidR="0061696D" w:rsidRDefault="00616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53C5" w14:textId="77777777" w:rsidR="008A0CAF" w:rsidRDefault="008A0C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BEE" w14:textId="7BDAB8E7" w:rsidR="00B245B5" w:rsidRDefault="00817814" w:rsidP="00272DAE">
    <w:pPr>
      <w:pStyle w:val="Header"/>
      <w:jc w:val="right"/>
    </w:pPr>
    <w:r>
      <w:t>Q3 FY26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15F8" w14:textId="77777777" w:rsidR="008A0CAF" w:rsidRDefault="008A0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89B"/>
    <w:multiLevelType w:val="multilevel"/>
    <w:tmpl w:val="0409001D"/>
    <w:styleLink w:val="1ai"/>
    <w:lvl w:ilvl="0">
      <w:start w:val="1"/>
      <w:numFmt w:val="decimal"/>
      <w:lvlText w:val="%1)"/>
      <w:lvlJc w:val="left"/>
      <w:pPr>
        <w:ind w:left="360" w:hanging="360"/>
      </w:pPr>
      <w:rPr>
        <w:rFonts w:ascii="Arial (Body)" w:eastAsia="Times New Roman" w:hAnsi="Arial (Body)"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C0350FE"/>
    <w:multiLevelType w:val="multilevel"/>
    <w:tmpl w:val="EAF4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B2760"/>
    <w:multiLevelType w:val="multilevel"/>
    <w:tmpl w:val="9662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D630B8"/>
    <w:multiLevelType w:val="multilevel"/>
    <w:tmpl w:val="980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206B99"/>
    <w:multiLevelType w:val="multilevel"/>
    <w:tmpl w:val="466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F77EB5"/>
    <w:multiLevelType w:val="hybridMultilevel"/>
    <w:tmpl w:val="4FFE5282"/>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16cid:durableId="1676033908">
    <w:abstractNumId w:val="0"/>
  </w:num>
  <w:num w:numId="2" w16cid:durableId="1618367962">
    <w:abstractNumId w:val="2"/>
  </w:num>
  <w:num w:numId="3" w16cid:durableId="1533610287">
    <w:abstractNumId w:val="4"/>
  </w:num>
  <w:num w:numId="4" w16cid:durableId="549538261">
    <w:abstractNumId w:val="3"/>
  </w:num>
  <w:num w:numId="5" w16cid:durableId="1412582146">
    <w:abstractNumId w:val="1"/>
  </w:num>
  <w:num w:numId="6" w16cid:durableId="111090077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saveSubset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5B5"/>
    <w:rsid w:val="00003B9D"/>
    <w:rsid w:val="00006E30"/>
    <w:rsid w:val="00006ECA"/>
    <w:rsid w:val="00010CD1"/>
    <w:rsid w:val="00012FB4"/>
    <w:rsid w:val="0002332E"/>
    <w:rsid w:val="00023F8D"/>
    <w:rsid w:val="00025681"/>
    <w:rsid w:val="00026149"/>
    <w:rsid w:val="0002682A"/>
    <w:rsid w:val="00030088"/>
    <w:rsid w:val="0003289E"/>
    <w:rsid w:val="000339EE"/>
    <w:rsid w:val="00035366"/>
    <w:rsid w:val="00037BB4"/>
    <w:rsid w:val="000403B7"/>
    <w:rsid w:val="0004080C"/>
    <w:rsid w:val="000409FC"/>
    <w:rsid w:val="0004458E"/>
    <w:rsid w:val="00045049"/>
    <w:rsid w:val="00052335"/>
    <w:rsid w:val="00065D91"/>
    <w:rsid w:val="00066533"/>
    <w:rsid w:val="00071C29"/>
    <w:rsid w:val="0007551F"/>
    <w:rsid w:val="000911E7"/>
    <w:rsid w:val="00093E42"/>
    <w:rsid w:val="000A4B54"/>
    <w:rsid w:val="000A6D44"/>
    <w:rsid w:val="000B2DAB"/>
    <w:rsid w:val="000B502C"/>
    <w:rsid w:val="000C0303"/>
    <w:rsid w:val="000D0D8E"/>
    <w:rsid w:val="000D107D"/>
    <w:rsid w:val="000D56A0"/>
    <w:rsid w:val="000D61E3"/>
    <w:rsid w:val="000E611B"/>
    <w:rsid w:val="000F687E"/>
    <w:rsid w:val="00103C60"/>
    <w:rsid w:val="001073DF"/>
    <w:rsid w:val="00110A6B"/>
    <w:rsid w:val="00111D5F"/>
    <w:rsid w:val="0011257B"/>
    <w:rsid w:val="001170E7"/>
    <w:rsid w:val="00117B41"/>
    <w:rsid w:val="00131250"/>
    <w:rsid w:val="001315A0"/>
    <w:rsid w:val="00132D57"/>
    <w:rsid w:val="00133E9B"/>
    <w:rsid w:val="001374EE"/>
    <w:rsid w:val="00137D93"/>
    <w:rsid w:val="00142D6A"/>
    <w:rsid w:val="001452BB"/>
    <w:rsid w:val="001474ED"/>
    <w:rsid w:val="00147B8C"/>
    <w:rsid w:val="001503B1"/>
    <w:rsid w:val="00153B4C"/>
    <w:rsid w:val="0016505C"/>
    <w:rsid w:val="00166B9B"/>
    <w:rsid w:val="0017140A"/>
    <w:rsid w:val="00172353"/>
    <w:rsid w:val="0017423C"/>
    <w:rsid w:val="00177DFD"/>
    <w:rsid w:val="0018109D"/>
    <w:rsid w:val="0018597A"/>
    <w:rsid w:val="001955BA"/>
    <w:rsid w:val="001A17F3"/>
    <w:rsid w:val="001A44D3"/>
    <w:rsid w:val="001A5045"/>
    <w:rsid w:val="001A627E"/>
    <w:rsid w:val="001A7079"/>
    <w:rsid w:val="001B0AD0"/>
    <w:rsid w:val="001B0E2C"/>
    <w:rsid w:val="001B2F59"/>
    <w:rsid w:val="001B4795"/>
    <w:rsid w:val="001C1211"/>
    <w:rsid w:val="001C2301"/>
    <w:rsid w:val="001C2E18"/>
    <w:rsid w:val="001C39A7"/>
    <w:rsid w:val="001C3A63"/>
    <w:rsid w:val="001C5130"/>
    <w:rsid w:val="001C5549"/>
    <w:rsid w:val="001C5675"/>
    <w:rsid w:val="001C72C0"/>
    <w:rsid w:val="001D1E5C"/>
    <w:rsid w:val="001D36F6"/>
    <w:rsid w:val="001D4570"/>
    <w:rsid w:val="001D7266"/>
    <w:rsid w:val="001E6125"/>
    <w:rsid w:val="001F045D"/>
    <w:rsid w:val="001F2393"/>
    <w:rsid w:val="001F3935"/>
    <w:rsid w:val="001F436A"/>
    <w:rsid w:val="001FE56D"/>
    <w:rsid w:val="0020325A"/>
    <w:rsid w:val="0020480F"/>
    <w:rsid w:val="0020618E"/>
    <w:rsid w:val="00212973"/>
    <w:rsid w:val="00214B26"/>
    <w:rsid w:val="00220F78"/>
    <w:rsid w:val="00221A3B"/>
    <w:rsid w:val="002263D3"/>
    <w:rsid w:val="00230C05"/>
    <w:rsid w:val="00230C82"/>
    <w:rsid w:val="0023238B"/>
    <w:rsid w:val="0023244F"/>
    <w:rsid w:val="00233058"/>
    <w:rsid w:val="00244057"/>
    <w:rsid w:val="002512C2"/>
    <w:rsid w:val="00255423"/>
    <w:rsid w:val="00257F3F"/>
    <w:rsid w:val="00267A5C"/>
    <w:rsid w:val="00272DAE"/>
    <w:rsid w:val="002739D0"/>
    <w:rsid w:val="002775A6"/>
    <w:rsid w:val="002A66D9"/>
    <w:rsid w:val="002B329E"/>
    <w:rsid w:val="002B34CF"/>
    <w:rsid w:val="002B64F9"/>
    <w:rsid w:val="002C30E4"/>
    <w:rsid w:val="002C42A3"/>
    <w:rsid w:val="002C5BA8"/>
    <w:rsid w:val="002E0D3D"/>
    <w:rsid w:val="002E5F47"/>
    <w:rsid w:val="002E7821"/>
    <w:rsid w:val="002F1121"/>
    <w:rsid w:val="0030233D"/>
    <w:rsid w:val="003033A2"/>
    <w:rsid w:val="00304F58"/>
    <w:rsid w:val="003104C7"/>
    <w:rsid w:val="0031207F"/>
    <w:rsid w:val="00314835"/>
    <w:rsid w:val="00331736"/>
    <w:rsid w:val="0033229D"/>
    <w:rsid w:val="00334782"/>
    <w:rsid w:val="00335F2A"/>
    <w:rsid w:val="003415B6"/>
    <w:rsid w:val="00344E3A"/>
    <w:rsid w:val="00344F0A"/>
    <w:rsid w:val="00350021"/>
    <w:rsid w:val="00350E61"/>
    <w:rsid w:val="00351071"/>
    <w:rsid w:val="00352D8B"/>
    <w:rsid w:val="003601E6"/>
    <w:rsid w:val="00371E81"/>
    <w:rsid w:val="0037478C"/>
    <w:rsid w:val="00384B43"/>
    <w:rsid w:val="00390CAD"/>
    <w:rsid w:val="003A2770"/>
    <w:rsid w:val="003A5675"/>
    <w:rsid w:val="003B1E12"/>
    <w:rsid w:val="003B3807"/>
    <w:rsid w:val="003B4C4F"/>
    <w:rsid w:val="003B66C6"/>
    <w:rsid w:val="003C1469"/>
    <w:rsid w:val="003C2685"/>
    <w:rsid w:val="003C2D7D"/>
    <w:rsid w:val="003D283D"/>
    <w:rsid w:val="003D6AC9"/>
    <w:rsid w:val="003E01EE"/>
    <w:rsid w:val="003E0265"/>
    <w:rsid w:val="003E2822"/>
    <w:rsid w:val="00401F40"/>
    <w:rsid w:val="00402703"/>
    <w:rsid w:val="00404451"/>
    <w:rsid w:val="004164EE"/>
    <w:rsid w:val="004175B6"/>
    <w:rsid w:val="004178BC"/>
    <w:rsid w:val="004179AD"/>
    <w:rsid w:val="00421C18"/>
    <w:rsid w:val="004261CC"/>
    <w:rsid w:val="00426FFC"/>
    <w:rsid w:val="00430526"/>
    <w:rsid w:val="0043508B"/>
    <w:rsid w:val="0043684A"/>
    <w:rsid w:val="004409AC"/>
    <w:rsid w:val="004502D5"/>
    <w:rsid w:val="0045120B"/>
    <w:rsid w:val="004547C1"/>
    <w:rsid w:val="00461D15"/>
    <w:rsid w:val="00466160"/>
    <w:rsid w:val="00467113"/>
    <w:rsid w:val="0046784C"/>
    <w:rsid w:val="00472675"/>
    <w:rsid w:val="00472D3A"/>
    <w:rsid w:val="004755E4"/>
    <w:rsid w:val="00483F6C"/>
    <w:rsid w:val="00484BF2"/>
    <w:rsid w:val="00486919"/>
    <w:rsid w:val="00487A8B"/>
    <w:rsid w:val="004957EC"/>
    <w:rsid w:val="004A4F00"/>
    <w:rsid w:val="004B4650"/>
    <w:rsid w:val="004B7E95"/>
    <w:rsid w:val="004C35D6"/>
    <w:rsid w:val="004C7D7B"/>
    <w:rsid w:val="004D7A80"/>
    <w:rsid w:val="004E3FE4"/>
    <w:rsid w:val="004E4439"/>
    <w:rsid w:val="004E5580"/>
    <w:rsid w:val="004E65A4"/>
    <w:rsid w:val="004F3EEB"/>
    <w:rsid w:val="004F43EB"/>
    <w:rsid w:val="004F7CBF"/>
    <w:rsid w:val="0050400E"/>
    <w:rsid w:val="005101CE"/>
    <w:rsid w:val="00511E96"/>
    <w:rsid w:val="00517FA3"/>
    <w:rsid w:val="00524456"/>
    <w:rsid w:val="00533645"/>
    <w:rsid w:val="0054111B"/>
    <w:rsid w:val="00545286"/>
    <w:rsid w:val="0055179D"/>
    <w:rsid w:val="005562CE"/>
    <w:rsid w:val="00565BE9"/>
    <w:rsid w:val="005701D0"/>
    <w:rsid w:val="00570749"/>
    <w:rsid w:val="0057493D"/>
    <w:rsid w:val="00580DC5"/>
    <w:rsid w:val="00580E7F"/>
    <w:rsid w:val="00587039"/>
    <w:rsid w:val="00590976"/>
    <w:rsid w:val="0059174A"/>
    <w:rsid w:val="00595B6D"/>
    <w:rsid w:val="00595DC5"/>
    <w:rsid w:val="005A24A2"/>
    <w:rsid w:val="005A4C09"/>
    <w:rsid w:val="005C38DC"/>
    <w:rsid w:val="005D554B"/>
    <w:rsid w:val="005D661F"/>
    <w:rsid w:val="005E0186"/>
    <w:rsid w:val="005E7603"/>
    <w:rsid w:val="005F3FBB"/>
    <w:rsid w:val="005F5F6B"/>
    <w:rsid w:val="005F698D"/>
    <w:rsid w:val="005F77A7"/>
    <w:rsid w:val="00600C54"/>
    <w:rsid w:val="00601AB1"/>
    <w:rsid w:val="0061176D"/>
    <w:rsid w:val="006129D6"/>
    <w:rsid w:val="00615FD2"/>
    <w:rsid w:val="0061696D"/>
    <w:rsid w:val="00616EC9"/>
    <w:rsid w:val="00625478"/>
    <w:rsid w:val="00634301"/>
    <w:rsid w:val="006407AA"/>
    <w:rsid w:val="00640C08"/>
    <w:rsid w:val="00641A17"/>
    <w:rsid w:val="00643B51"/>
    <w:rsid w:val="006440E9"/>
    <w:rsid w:val="006449E6"/>
    <w:rsid w:val="00647AA1"/>
    <w:rsid w:val="006535BC"/>
    <w:rsid w:val="00656AB7"/>
    <w:rsid w:val="00662BC1"/>
    <w:rsid w:val="00666C89"/>
    <w:rsid w:val="006724C7"/>
    <w:rsid w:val="00672B02"/>
    <w:rsid w:val="00673090"/>
    <w:rsid w:val="00674B6E"/>
    <w:rsid w:val="00681963"/>
    <w:rsid w:val="006853A9"/>
    <w:rsid w:val="006879BD"/>
    <w:rsid w:val="00691291"/>
    <w:rsid w:val="00692B11"/>
    <w:rsid w:val="00692F15"/>
    <w:rsid w:val="006967BF"/>
    <w:rsid w:val="006A0463"/>
    <w:rsid w:val="006A2E08"/>
    <w:rsid w:val="006B3126"/>
    <w:rsid w:val="006B6645"/>
    <w:rsid w:val="006C310D"/>
    <w:rsid w:val="006C3FD1"/>
    <w:rsid w:val="006C474A"/>
    <w:rsid w:val="006D28BE"/>
    <w:rsid w:val="006D792E"/>
    <w:rsid w:val="006E341B"/>
    <w:rsid w:val="006E4EF2"/>
    <w:rsid w:val="006E6069"/>
    <w:rsid w:val="006F0AE6"/>
    <w:rsid w:val="006F611A"/>
    <w:rsid w:val="006F6A82"/>
    <w:rsid w:val="006F79B7"/>
    <w:rsid w:val="007036D8"/>
    <w:rsid w:val="0071024F"/>
    <w:rsid w:val="0071322F"/>
    <w:rsid w:val="00715CC2"/>
    <w:rsid w:val="007165A8"/>
    <w:rsid w:val="007171B3"/>
    <w:rsid w:val="007178C3"/>
    <w:rsid w:val="00717A52"/>
    <w:rsid w:val="007203F5"/>
    <w:rsid w:val="00721466"/>
    <w:rsid w:val="00721922"/>
    <w:rsid w:val="00723799"/>
    <w:rsid w:val="0072574B"/>
    <w:rsid w:val="00730423"/>
    <w:rsid w:val="00745343"/>
    <w:rsid w:val="00745385"/>
    <w:rsid w:val="007464B7"/>
    <w:rsid w:val="00750545"/>
    <w:rsid w:val="00754041"/>
    <w:rsid w:val="007566E0"/>
    <w:rsid w:val="00761377"/>
    <w:rsid w:val="00770188"/>
    <w:rsid w:val="00771FD7"/>
    <w:rsid w:val="007738EF"/>
    <w:rsid w:val="00783CFC"/>
    <w:rsid w:val="0078425C"/>
    <w:rsid w:val="007871DB"/>
    <w:rsid w:val="007907E9"/>
    <w:rsid w:val="007976E1"/>
    <w:rsid w:val="007B52B9"/>
    <w:rsid w:val="007C3DEC"/>
    <w:rsid w:val="007C6934"/>
    <w:rsid w:val="007E7CEC"/>
    <w:rsid w:val="007F320E"/>
    <w:rsid w:val="007F41BC"/>
    <w:rsid w:val="007F535B"/>
    <w:rsid w:val="007F6FB1"/>
    <w:rsid w:val="007F7B82"/>
    <w:rsid w:val="008079A7"/>
    <w:rsid w:val="00810C8E"/>
    <w:rsid w:val="00814EAE"/>
    <w:rsid w:val="008154E6"/>
    <w:rsid w:val="00817814"/>
    <w:rsid w:val="00820792"/>
    <w:rsid w:val="008218F9"/>
    <w:rsid w:val="00827C68"/>
    <w:rsid w:val="008329AE"/>
    <w:rsid w:val="00840585"/>
    <w:rsid w:val="00843ACD"/>
    <w:rsid w:val="00844825"/>
    <w:rsid w:val="008552D0"/>
    <w:rsid w:val="00857303"/>
    <w:rsid w:val="008612F5"/>
    <w:rsid w:val="00864901"/>
    <w:rsid w:val="00871E52"/>
    <w:rsid w:val="00872113"/>
    <w:rsid w:val="0088209D"/>
    <w:rsid w:val="0089538C"/>
    <w:rsid w:val="008A0CAF"/>
    <w:rsid w:val="008A1E39"/>
    <w:rsid w:val="008A49D0"/>
    <w:rsid w:val="008A6705"/>
    <w:rsid w:val="008B3517"/>
    <w:rsid w:val="008B3886"/>
    <w:rsid w:val="008C0D2D"/>
    <w:rsid w:val="008C172F"/>
    <w:rsid w:val="008C1AA0"/>
    <w:rsid w:val="008D4FDF"/>
    <w:rsid w:val="008D5F4C"/>
    <w:rsid w:val="008D696D"/>
    <w:rsid w:val="008E5B3A"/>
    <w:rsid w:val="00900E34"/>
    <w:rsid w:val="009036ED"/>
    <w:rsid w:val="00907085"/>
    <w:rsid w:val="00907F4A"/>
    <w:rsid w:val="00911DA9"/>
    <w:rsid w:val="00914F2C"/>
    <w:rsid w:val="0092032A"/>
    <w:rsid w:val="00922B88"/>
    <w:rsid w:val="00927E0D"/>
    <w:rsid w:val="00930AAA"/>
    <w:rsid w:val="00937F67"/>
    <w:rsid w:val="009426A8"/>
    <w:rsid w:val="00944D0A"/>
    <w:rsid w:val="00950774"/>
    <w:rsid w:val="009568F1"/>
    <w:rsid w:val="009616D8"/>
    <w:rsid w:val="0096221E"/>
    <w:rsid w:val="009652BD"/>
    <w:rsid w:val="00971225"/>
    <w:rsid w:val="009760A7"/>
    <w:rsid w:val="00976165"/>
    <w:rsid w:val="00997A6B"/>
    <w:rsid w:val="00997B7D"/>
    <w:rsid w:val="00997C5E"/>
    <w:rsid w:val="009A28B4"/>
    <w:rsid w:val="009B4C4F"/>
    <w:rsid w:val="009C28B2"/>
    <w:rsid w:val="009C7DE6"/>
    <w:rsid w:val="009D55F6"/>
    <w:rsid w:val="009D5EF3"/>
    <w:rsid w:val="009D768D"/>
    <w:rsid w:val="009E5BA4"/>
    <w:rsid w:val="009E5C32"/>
    <w:rsid w:val="009F394B"/>
    <w:rsid w:val="00A018B8"/>
    <w:rsid w:val="00A07BCF"/>
    <w:rsid w:val="00A1116B"/>
    <w:rsid w:val="00A12973"/>
    <w:rsid w:val="00A12A1B"/>
    <w:rsid w:val="00A178C0"/>
    <w:rsid w:val="00A2564D"/>
    <w:rsid w:val="00A26190"/>
    <w:rsid w:val="00A327ED"/>
    <w:rsid w:val="00A408C2"/>
    <w:rsid w:val="00A40C2C"/>
    <w:rsid w:val="00A4112D"/>
    <w:rsid w:val="00A43EBE"/>
    <w:rsid w:val="00A447B4"/>
    <w:rsid w:val="00A44E28"/>
    <w:rsid w:val="00A47CEC"/>
    <w:rsid w:val="00A54586"/>
    <w:rsid w:val="00A555D9"/>
    <w:rsid w:val="00A6058F"/>
    <w:rsid w:val="00A61B20"/>
    <w:rsid w:val="00A623BE"/>
    <w:rsid w:val="00A6340E"/>
    <w:rsid w:val="00A759EC"/>
    <w:rsid w:val="00A81011"/>
    <w:rsid w:val="00A82186"/>
    <w:rsid w:val="00A829CB"/>
    <w:rsid w:val="00A845FF"/>
    <w:rsid w:val="00A847B5"/>
    <w:rsid w:val="00A9483E"/>
    <w:rsid w:val="00A974C7"/>
    <w:rsid w:val="00A97F8A"/>
    <w:rsid w:val="00AA0AC0"/>
    <w:rsid w:val="00AB275E"/>
    <w:rsid w:val="00AB48F6"/>
    <w:rsid w:val="00AB5A60"/>
    <w:rsid w:val="00AB6C98"/>
    <w:rsid w:val="00AB714B"/>
    <w:rsid w:val="00AC15AB"/>
    <w:rsid w:val="00AC3538"/>
    <w:rsid w:val="00AC719C"/>
    <w:rsid w:val="00AD5E38"/>
    <w:rsid w:val="00AD6F15"/>
    <w:rsid w:val="00AE2799"/>
    <w:rsid w:val="00AE3069"/>
    <w:rsid w:val="00AE5169"/>
    <w:rsid w:val="00AE5740"/>
    <w:rsid w:val="00B0019E"/>
    <w:rsid w:val="00B00656"/>
    <w:rsid w:val="00B024EA"/>
    <w:rsid w:val="00B03F73"/>
    <w:rsid w:val="00B05FB9"/>
    <w:rsid w:val="00B14BA0"/>
    <w:rsid w:val="00B16F32"/>
    <w:rsid w:val="00B17EE4"/>
    <w:rsid w:val="00B23E12"/>
    <w:rsid w:val="00B245B5"/>
    <w:rsid w:val="00B247F3"/>
    <w:rsid w:val="00B30F28"/>
    <w:rsid w:val="00B36504"/>
    <w:rsid w:val="00B37304"/>
    <w:rsid w:val="00B37DE1"/>
    <w:rsid w:val="00B4310F"/>
    <w:rsid w:val="00B435B8"/>
    <w:rsid w:val="00B4399C"/>
    <w:rsid w:val="00B45010"/>
    <w:rsid w:val="00B51A5E"/>
    <w:rsid w:val="00B64D60"/>
    <w:rsid w:val="00B655B7"/>
    <w:rsid w:val="00B71678"/>
    <w:rsid w:val="00B80280"/>
    <w:rsid w:val="00B80EFB"/>
    <w:rsid w:val="00B87D7B"/>
    <w:rsid w:val="00BA5A96"/>
    <w:rsid w:val="00BA6762"/>
    <w:rsid w:val="00BA7516"/>
    <w:rsid w:val="00BB137E"/>
    <w:rsid w:val="00BC6F68"/>
    <w:rsid w:val="00BD14FE"/>
    <w:rsid w:val="00BD40F9"/>
    <w:rsid w:val="00BD4B23"/>
    <w:rsid w:val="00BD4C79"/>
    <w:rsid w:val="00BD71FC"/>
    <w:rsid w:val="00BE034A"/>
    <w:rsid w:val="00BE1766"/>
    <w:rsid w:val="00BE442C"/>
    <w:rsid w:val="00BE4B8D"/>
    <w:rsid w:val="00BE7242"/>
    <w:rsid w:val="00BF2F7A"/>
    <w:rsid w:val="00BF605F"/>
    <w:rsid w:val="00BF70A7"/>
    <w:rsid w:val="00C04CFF"/>
    <w:rsid w:val="00C14115"/>
    <w:rsid w:val="00C165C1"/>
    <w:rsid w:val="00C21907"/>
    <w:rsid w:val="00C23424"/>
    <w:rsid w:val="00C2480E"/>
    <w:rsid w:val="00C24C04"/>
    <w:rsid w:val="00C252F9"/>
    <w:rsid w:val="00C31168"/>
    <w:rsid w:val="00C337B3"/>
    <w:rsid w:val="00C33A04"/>
    <w:rsid w:val="00C352E4"/>
    <w:rsid w:val="00C44381"/>
    <w:rsid w:val="00C50674"/>
    <w:rsid w:val="00C6090C"/>
    <w:rsid w:val="00C62DDF"/>
    <w:rsid w:val="00C763B5"/>
    <w:rsid w:val="00C768E6"/>
    <w:rsid w:val="00C84AD1"/>
    <w:rsid w:val="00C93E15"/>
    <w:rsid w:val="00C94394"/>
    <w:rsid w:val="00C9491C"/>
    <w:rsid w:val="00CA0238"/>
    <w:rsid w:val="00CA0EB6"/>
    <w:rsid w:val="00CA3D22"/>
    <w:rsid w:val="00CA433A"/>
    <w:rsid w:val="00CA74E5"/>
    <w:rsid w:val="00CA7D02"/>
    <w:rsid w:val="00CB2924"/>
    <w:rsid w:val="00CB35B7"/>
    <w:rsid w:val="00CB3E56"/>
    <w:rsid w:val="00CD16A6"/>
    <w:rsid w:val="00CD70E4"/>
    <w:rsid w:val="00CE2947"/>
    <w:rsid w:val="00CE57BA"/>
    <w:rsid w:val="00CE59E8"/>
    <w:rsid w:val="00CE69BB"/>
    <w:rsid w:val="00CE7204"/>
    <w:rsid w:val="00CF2F1A"/>
    <w:rsid w:val="00CF3923"/>
    <w:rsid w:val="00CF6323"/>
    <w:rsid w:val="00D10FEA"/>
    <w:rsid w:val="00D20077"/>
    <w:rsid w:val="00D2296F"/>
    <w:rsid w:val="00D2420A"/>
    <w:rsid w:val="00D310E9"/>
    <w:rsid w:val="00D3588D"/>
    <w:rsid w:val="00D3677D"/>
    <w:rsid w:val="00D37312"/>
    <w:rsid w:val="00D4147B"/>
    <w:rsid w:val="00D52524"/>
    <w:rsid w:val="00D546EF"/>
    <w:rsid w:val="00D61507"/>
    <w:rsid w:val="00D6421E"/>
    <w:rsid w:val="00D6632F"/>
    <w:rsid w:val="00D750AA"/>
    <w:rsid w:val="00D83BC1"/>
    <w:rsid w:val="00D85866"/>
    <w:rsid w:val="00D87ED7"/>
    <w:rsid w:val="00D902E4"/>
    <w:rsid w:val="00D93979"/>
    <w:rsid w:val="00D9554D"/>
    <w:rsid w:val="00D96BFC"/>
    <w:rsid w:val="00DB170E"/>
    <w:rsid w:val="00DB4338"/>
    <w:rsid w:val="00DB64B8"/>
    <w:rsid w:val="00DC6F28"/>
    <w:rsid w:val="00DD0DBC"/>
    <w:rsid w:val="00DD1ED4"/>
    <w:rsid w:val="00DD62AE"/>
    <w:rsid w:val="00DE3749"/>
    <w:rsid w:val="00DE396B"/>
    <w:rsid w:val="00DF2CD0"/>
    <w:rsid w:val="00DF380D"/>
    <w:rsid w:val="00DF4243"/>
    <w:rsid w:val="00DF5E61"/>
    <w:rsid w:val="00DF77BE"/>
    <w:rsid w:val="00E017AC"/>
    <w:rsid w:val="00E019AE"/>
    <w:rsid w:val="00E07856"/>
    <w:rsid w:val="00E07B97"/>
    <w:rsid w:val="00E127CC"/>
    <w:rsid w:val="00E12FF7"/>
    <w:rsid w:val="00E17E13"/>
    <w:rsid w:val="00E20EAA"/>
    <w:rsid w:val="00E37616"/>
    <w:rsid w:val="00E41A92"/>
    <w:rsid w:val="00E46FFA"/>
    <w:rsid w:val="00E47B54"/>
    <w:rsid w:val="00E54690"/>
    <w:rsid w:val="00E639A3"/>
    <w:rsid w:val="00E66402"/>
    <w:rsid w:val="00E672EE"/>
    <w:rsid w:val="00E73DF2"/>
    <w:rsid w:val="00E77751"/>
    <w:rsid w:val="00E9389B"/>
    <w:rsid w:val="00E9569F"/>
    <w:rsid w:val="00E96265"/>
    <w:rsid w:val="00E9747C"/>
    <w:rsid w:val="00EA00CE"/>
    <w:rsid w:val="00EA1307"/>
    <w:rsid w:val="00EA63A7"/>
    <w:rsid w:val="00EA724D"/>
    <w:rsid w:val="00EB121D"/>
    <w:rsid w:val="00EC149C"/>
    <w:rsid w:val="00EC71ED"/>
    <w:rsid w:val="00EC798A"/>
    <w:rsid w:val="00ED0427"/>
    <w:rsid w:val="00ED1195"/>
    <w:rsid w:val="00ED2797"/>
    <w:rsid w:val="00EE3FC3"/>
    <w:rsid w:val="00EF43DA"/>
    <w:rsid w:val="00F03D2D"/>
    <w:rsid w:val="00F04E7E"/>
    <w:rsid w:val="00F0683A"/>
    <w:rsid w:val="00F06B4E"/>
    <w:rsid w:val="00F15BE9"/>
    <w:rsid w:val="00F31276"/>
    <w:rsid w:val="00F3206F"/>
    <w:rsid w:val="00F36284"/>
    <w:rsid w:val="00F404CD"/>
    <w:rsid w:val="00F41E65"/>
    <w:rsid w:val="00F4270C"/>
    <w:rsid w:val="00F44961"/>
    <w:rsid w:val="00F454A5"/>
    <w:rsid w:val="00F60C70"/>
    <w:rsid w:val="00F641AE"/>
    <w:rsid w:val="00F674CC"/>
    <w:rsid w:val="00F72369"/>
    <w:rsid w:val="00F73EFB"/>
    <w:rsid w:val="00F831CD"/>
    <w:rsid w:val="00F83763"/>
    <w:rsid w:val="00F843D0"/>
    <w:rsid w:val="00F84AE0"/>
    <w:rsid w:val="00F85C93"/>
    <w:rsid w:val="00F8794E"/>
    <w:rsid w:val="00F90AFF"/>
    <w:rsid w:val="00F90BF1"/>
    <w:rsid w:val="00F94E1F"/>
    <w:rsid w:val="00F964DD"/>
    <w:rsid w:val="00F96F8C"/>
    <w:rsid w:val="00FA2F26"/>
    <w:rsid w:val="00FA4BA0"/>
    <w:rsid w:val="00FB6551"/>
    <w:rsid w:val="00FB68E6"/>
    <w:rsid w:val="00FC29C0"/>
    <w:rsid w:val="00FD0DB0"/>
    <w:rsid w:val="00FD1358"/>
    <w:rsid w:val="00FD373E"/>
    <w:rsid w:val="00FE7994"/>
    <w:rsid w:val="00FF3E04"/>
    <w:rsid w:val="00FF63DB"/>
    <w:rsid w:val="00FF6654"/>
    <w:rsid w:val="00FF67B3"/>
    <w:rsid w:val="01701B33"/>
    <w:rsid w:val="017FD83E"/>
    <w:rsid w:val="019EAC4C"/>
    <w:rsid w:val="01CA055A"/>
    <w:rsid w:val="034FAC2F"/>
    <w:rsid w:val="0433EA28"/>
    <w:rsid w:val="04CFC149"/>
    <w:rsid w:val="04E6CA7E"/>
    <w:rsid w:val="04ED4AC4"/>
    <w:rsid w:val="0567CA8F"/>
    <w:rsid w:val="05891521"/>
    <w:rsid w:val="06C5FC43"/>
    <w:rsid w:val="0734FC99"/>
    <w:rsid w:val="073AD5A0"/>
    <w:rsid w:val="07F79292"/>
    <w:rsid w:val="085EA622"/>
    <w:rsid w:val="08B53DD7"/>
    <w:rsid w:val="093B924B"/>
    <w:rsid w:val="09A900CA"/>
    <w:rsid w:val="09E09406"/>
    <w:rsid w:val="0A10B96E"/>
    <w:rsid w:val="0A21D9C0"/>
    <w:rsid w:val="0A510E38"/>
    <w:rsid w:val="0AA7A211"/>
    <w:rsid w:val="0AD9DCA4"/>
    <w:rsid w:val="0B560C02"/>
    <w:rsid w:val="0B567B41"/>
    <w:rsid w:val="0B9CE097"/>
    <w:rsid w:val="0B9E34B7"/>
    <w:rsid w:val="0BD1E551"/>
    <w:rsid w:val="0C0C6A82"/>
    <w:rsid w:val="0CCB03B5"/>
    <w:rsid w:val="0CD8B406"/>
    <w:rsid w:val="0D1CE7D1"/>
    <w:rsid w:val="0D492F5F"/>
    <w:rsid w:val="0D6D75B9"/>
    <w:rsid w:val="0DB39086"/>
    <w:rsid w:val="0DBBF989"/>
    <w:rsid w:val="0E66D416"/>
    <w:rsid w:val="0EE96EDF"/>
    <w:rsid w:val="0EF54AE3"/>
    <w:rsid w:val="0F06EA61"/>
    <w:rsid w:val="0F5AA842"/>
    <w:rsid w:val="0FBD4A30"/>
    <w:rsid w:val="10047EFA"/>
    <w:rsid w:val="120505E0"/>
    <w:rsid w:val="1213C348"/>
    <w:rsid w:val="13063D52"/>
    <w:rsid w:val="13361E15"/>
    <w:rsid w:val="1347F58A"/>
    <w:rsid w:val="136086F3"/>
    <w:rsid w:val="1373D864"/>
    <w:rsid w:val="142B3B0D"/>
    <w:rsid w:val="14AA0037"/>
    <w:rsid w:val="14BED0CA"/>
    <w:rsid w:val="14EBB371"/>
    <w:rsid w:val="15F70D78"/>
    <w:rsid w:val="161B1225"/>
    <w:rsid w:val="1659D288"/>
    <w:rsid w:val="16A02EAB"/>
    <w:rsid w:val="16C14424"/>
    <w:rsid w:val="174F1D29"/>
    <w:rsid w:val="17C1F73A"/>
    <w:rsid w:val="17DA9E9E"/>
    <w:rsid w:val="180A2BD6"/>
    <w:rsid w:val="1952B2E7"/>
    <w:rsid w:val="1A11BDA3"/>
    <w:rsid w:val="1AAF5AB7"/>
    <w:rsid w:val="1B4D44A4"/>
    <w:rsid w:val="1BA5293B"/>
    <w:rsid w:val="1BAD8E04"/>
    <w:rsid w:val="1BD81D52"/>
    <w:rsid w:val="1C356569"/>
    <w:rsid w:val="1D601811"/>
    <w:rsid w:val="1E04AA7B"/>
    <w:rsid w:val="1E523CFA"/>
    <w:rsid w:val="1ECA683D"/>
    <w:rsid w:val="1F84F8B0"/>
    <w:rsid w:val="20175CE3"/>
    <w:rsid w:val="20442C80"/>
    <w:rsid w:val="229B7620"/>
    <w:rsid w:val="23AE2F8F"/>
    <w:rsid w:val="2477494D"/>
    <w:rsid w:val="248751E5"/>
    <w:rsid w:val="2549FFF0"/>
    <w:rsid w:val="2551ABBD"/>
    <w:rsid w:val="26E5D051"/>
    <w:rsid w:val="27413024"/>
    <w:rsid w:val="2754331F"/>
    <w:rsid w:val="27D4F3D6"/>
    <w:rsid w:val="289CCBE5"/>
    <w:rsid w:val="28A61A31"/>
    <w:rsid w:val="28C0C943"/>
    <w:rsid w:val="29101E8B"/>
    <w:rsid w:val="2920651C"/>
    <w:rsid w:val="29EF6A90"/>
    <w:rsid w:val="2A8793D9"/>
    <w:rsid w:val="2AD2D156"/>
    <w:rsid w:val="2AED74B7"/>
    <w:rsid w:val="2B357C05"/>
    <w:rsid w:val="2B4D19E8"/>
    <w:rsid w:val="2B6B146B"/>
    <w:rsid w:val="2CB98577"/>
    <w:rsid w:val="2CBC1750"/>
    <w:rsid w:val="2D3788C2"/>
    <w:rsid w:val="2D5E460B"/>
    <w:rsid w:val="2D744C94"/>
    <w:rsid w:val="2F78405E"/>
    <w:rsid w:val="2F7871F4"/>
    <w:rsid w:val="2FA0ECA1"/>
    <w:rsid w:val="3009E6A7"/>
    <w:rsid w:val="30237975"/>
    <w:rsid w:val="308851E1"/>
    <w:rsid w:val="31BF79AF"/>
    <w:rsid w:val="31CF1F6C"/>
    <w:rsid w:val="31E05A43"/>
    <w:rsid w:val="31E3A019"/>
    <w:rsid w:val="32063ABC"/>
    <w:rsid w:val="3233D41A"/>
    <w:rsid w:val="32723F44"/>
    <w:rsid w:val="33317CD1"/>
    <w:rsid w:val="33F56841"/>
    <w:rsid w:val="33FBF406"/>
    <w:rsid w:val="3425A2B7"/>
    <w:rsid w:val="343D9CDD"/>
    <w:rsid w:val="3492467C"/>
    <w:rsid w:val="34D1639D"/>
    <w:rsid w:val="35148839"/>
    <w:rsid w:val="357AA9D3"/>
    <w:rsid w:val="3597C467"/>
    <w:rsid w:val="3609D65A"/>
    <w:rsid w:val="367BAF1D"/>
    <w:rsid w:val="36E1EDFD"/>
    <w:rsid w:val="37054FAD"/>
    <w:rsid w:val="37551176"/>
    <w:rsid w:val="378981CF"/>
    <w:rsid w:val="37F84A79"/>
    <w:rsid w:val="384EEFF8"/>
    <w:rsid w:val="38859036"/>
    <w:rsid w:val="3899EFF3"/>
    <w:rsid w:val="39EA3151"/>
    <w:rsid w:val="3A0FF3EE"/>
    <w:rsid w:val="3A54CFB4"/>
    <w:rsid w:val="3B3BE86A"/>
    <w:rsid w:val="3BEBFAAC"/>
    <w:rsid w:val="3D8C7076"/>
    <w:rsid w:val="3DAF127D"/>
    <w:rsid w:val="3DD4789F"/>
    <w:rsid w:val="3E31543A"/>
    <w:rsid w:val="3E3ADCE9"/>
    <w:rsid w:val="3E6733D7"/>
    <w:rsid w:val="3E79DC9F"/>
    <w:rsid w:val="3E9527FE"/>
    <w:rsid w:val="3E991C0D"/>
    <w:rsid w:val="3F12F4AD"/>
    <w:rsid w:val="3FDD3FE0"/>
    <w:rsid w:val="400551F3"/>
    <w:rsid w:val="4072DE5D"/>
    <w:rsid w:val="425CCF2C"/>
    <w:rsid w:val="426C947C"/>
    <w:rsid w:val="428464BF"/>
    <w:rsid w:val="42B7F046"/>
    <w:rsid w:val="43194158"/>
    <w:rsid w:val="43A09F80"/>
    <w:rsid w:val="43C4DB96"/>
    <w:rsid w:val="442C20F5"/>
    <w:rsid w:val="44D48723"/>
    <w:rsid w:val="44EB9AF5"/>
    <w:rsid w:val="44EE4581"/>
    <w:rsid w:val="45373295"/>
    <w:rsid w:val="454C9C0D"/>
    <w:rsid w:val="459C8670"/>
    <w:rsid w:val="45DE2C0F"/>
    <w:rsid w:val="46705784"/>
    <w:rsid w:val="4730DECF"/>
    <w:rsid w:val="473E41D3"/>
    <w:rsid w:val="483A66F2"/>
    <w:rsid w:val="48C1E5EB"/>
    <w:rsid w:val="49497223"/>
    <w:rsid w:val="499E1C1D"/>
    <w:rsid w:val="49C5264F"/>
    <w:rsid w:val="4A4F2CAC"/>
    <w:rsid w:val="4AC3022B"/>
    <w:rsid w:val="4B94606A"/>
    <w:rsid w:val="4BBF700B"/>
    <w:rsid w:val="4BE2C681"/>
    <w:rsid w:val="4D4A913A"/>
    <w:rsid w:val="4D949811"/>
    <w:rsid w:val="4D9F086B"/>
    <w:rsid w:val="4DB7AD6F"/>
    <w:rsid w:val="4EAED4A1"/>
    <w:rsid w:val="50831630"/>
    <w:rsid w:val="51DB8D3F"/>
    <w:rsid w:val="52D60196"/>
    <w:rsid w:val="53094C25"/>
    <w:rsid w:val="54915DE0"/>
    <w:rsid w:val="554D29F4"/>
    <w:rsid w:val="558793C1"/>
    <w:rsid w:val="561FF659"/>
    <w:rsid w:val="5755D20A"/>
    <w:rsid w:val="58159600"/>
    <w:rsid w:val="5830C3FF"/>
    <w:rsid w:val="585DD355"/>
    <w:rsid w:val="586C0288"/>
    <w:rsid w:val="58B4D40F"/>
    <w:rsid w:val="5970ECE4"/>
    <w:rsid w:val="5989D0C2"/>
    <w:rsid w:val="5A2AFB66"/>
    <w:rsid w:val="5A39060D"/>
    <w:rsid w:val="5A70430F"/>
    <w:rsid w:val="5BAC2CC0"/>
    <w:rsid w:val="5BB2B2FC"/>
    <w:rsid w:val="5C1FD658"/>
    <w:rsid w:val="5C97060E"/>
    <w:rsid w:val="5CB02E6B"/>
    <w:rsid w:val="5CFEBDB6"/>
    <w:rsid w:val="5D577E72"/>
    <w:rsid w:val="5D70CFAE"/>
    <w:rsid w:val="5D713491"/>
    <w:rsid w:val="5E142CAC"/>
    <w:rsid w:val="5E52BC56"/>
    <w:rsid w:val="5E6E3FA1"/>
    <w:rsid w:val="5E8D869D"/>
    <w:rsid w:val="5EDB5D43"/>
    <w:rsid w:val="5F75F022"/>
    <w:rsid w:val="600E0103"/>
    <w:rsid w:val="602DB27A"/>
    <w:rsid w:val="60BEC124"/>
    <w:rsid w:val="6155BB49"/>
    <w:rsid w:val="618E0E82"/>
    <w:rsid w:val="623116B3"/>
    <w:rsid w:val="62866CBC"/>
    <w:rsid w:val="62B0A36F"/>
    <w:rsid w:val="63588399"/>
    <w:rsid w:val="635D13BB"/>
    <w:rsid w:val="6395CCE7"/>
    <w:rsid w:val="63A092E8"/>
    <w:rsid w:val="63FF743C"/>
    <w:rsid w:val="64030818"/>
    <w:rsid w:val="64609EE6"/>
    <w:rsid w:val="64A217F3"/>
    <w:rsid w:val="64F41D01"/>
    <w:rsid w:val="654584F3"/>
    <w:rsid w:val="656998B1"/>
    <w:rsid w:val="656B3B44"/>
    <w:rsid w:val="65D09EE8"/>
    <w:rsid w:val="6637C566"/>
    <w:rsid w:val="66BF277C"/>
    <w:rsid w:val="671C8F37"/>
    <w:rsid w:val="6753638E"/>
    <w:rsid w:val="67F4A4E6"/>
    <w:rsid w:val="6866F1EE"/>
    <w:rsid w:val="688E04E3"/>
    <w:rsid w:val="69F50425"/>
    <w:rsid w:val="6B7CA4E3"/>
    <w:rsid w:val="6D0D2EAD"/>
    <w:rsid w:val="6E56BEC0"/>
    <w:rsid w:val="6EA52D2E"/>
    <w:rsid w:val="6EA815A4"/>
    <w:rsid w:val="6F3CBD2C"/>
    <w:rsid w:val="6F3F06D0"/>
    <w:rsid w:val="6F4ACED8"/>
    <w:rsid w:val="6F5C0BAC"/>
    <w:rsid w:val="6F5C6208"/>
    <w:rsid w:val="6F90C3E3"/>
    <w:rsid w:val="6FF05167"/>
    <w:rsid w:val="708D3EC5"/>
    <w:rsid w:val="70BAF30A"/>
    <w:rsid w:val="7102335A"/>
    <w:rsid w:val="71781CA3"/>
    <w:rsid w:val="71C68E09"/>
    <w:rsid w:val="71CD103D"/>
    <w:rsid w:val="7233630E"/>
    <w:rsid w:val="72565651"/>
    <w:rsid w:val="72609F48"/>
    <w:rsid w:val="72E9F3FC"/>
    <w:rsid w:val="73437462"/>
    <w:rsid w:val="739486EB"/>
    <w:rsid w:val="73BA2848"/>
    <w:rsid w:val="73F087A0"/>
    <w:rsid w:val="74480186"/>
    <w:rsid w:val="74891BB3"/>
    <w:rsid w:val="753EC64A"/>
    <w:rsid w:val="75C4AF0F"/>
    <w:rsid w:val="75DAB2D4"/>
    <w:rsid w:val="767FEC77"/>
    <w:rsid w:val="76877496"/>
    <w:rsid w:val="7689EF8E"/>
    <w:rsid w:val="7760F885"/>
    <w:rsid w:val="7763A58D"/>
    <w:rsid w:val="77E40B5F"/>
    <w:rsid w:val="78776AE5"/>
    <w:rsid w:val="78792E09"/>
    <w:rsid w:val="7925D8A4"/>
    <w:rsid w:val="798AEF79"/>
    <w:rsid w:val="7A47AAC7"/>
    <w:rsid w:val="7AB05633"/>
    <w:rsid w:val="7ACC6F61"/>
    <w:rsid w:val="7CA9804F"/>
    <w:rsid w:val="7CAA4776"/>
    <w:rsid w:val="7CAB1737"/>
    <w:rsid w:val="7D5D1BA0"/>
    <w:rsid w:val="7E8F3D6E"/>
    <w:rsid w:val="7EAC509B"/>
    <w:rsid w:val="7EBA89B5"/>
    <w:rsid w:val="7EBB1240"/>
    <w:rsid w:val="7F3B140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50201"/>
  <w15:chartTrackingRefBased/>
  <w15:docId w15:val="{724D3915-5F6C-433A-8BA7-41F43E9CE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9FC"/>
    <w:pPr>
      <w:spacing w:line="256" w:lineRule="auto"/>
    </w:pPr>
  </w:style>
  <w:style w:type="paragraph" w:styleId="Heading1">
    <w:name w:val="heading 1"/>
    <w:basedOn w:val="Normal"/>
    <w:next w:val="Normal"/>
    <w:link w:val="Heading1Char"/>
    <w:uiPriority w:val="9"/>
    <w:qFormat/>
    <w:rsid w:val="006C3FD1"/>
    <w:pPr>
      <w:keepNext/>
      <w:keepLines/>
      <w:spacing w:before="300" w:after="180" w:line="264" w:lineRule="auto"/>
      <w:outlineLvl w:val="0"/>
    </w:pPr>
    <w:rPr>
      <w:rFonts w:ascii="Arial" w:eastAsiaTheme="majorEastAsia" w:hAnsi="Arial"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45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45B5"/>
    <w:rPr>
      <w:rFonts w:ascii="Segoe UI" w:hAnsi="Segoe UI" w:cs="Segoe UI"/>
      <w:sz w:val="18"/>
      <w:szCs w:val="18"/>
    </w:rPr>
  </w:style>
  <w:style w:type="paragraph" w:styleId="Footer">
    <w:name w:val="footer"/>
    <w:basedOn w:val="Normal"/>
    <w:link w:val="FooterChar"/>
    <w:uiPriority w:val="99"/>
    <w:unhideWhenUsed/>
    <w:rsid w:val="00B245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5B5"/>
  </w:style>
  <w:style w:type="paragraph" w:styleId="Header">
    <w:name w:val="header"/>
    <w:basedOn w:val="Normal"/>
    <w:link w:val="HeaderChar"/>
    <w:uiPriority w:val="99"/>
    <w:unhideWhenUsed/>
    <w:rsid w:val="00B245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5B5"/>
  </w:style>
  <w:style w:type="paragraph" w:customStyle="1" w:styleId="00Body">
    <w:name w:val="00 Body"/>
    <w:basedOn w:val="Normal"/>
    <w:link w:val="00BodyChar"/>
    <w:qFormat/>
    <w:rsid w:val="00B245B5"/>
    <w:pPr>
      <w:spacing w:before="180" w:after="180" w:line="264" w:lineRule="auto"/>
    </w:pPr>
    <w:rPr>
      <w:rFonts w:ascii="Arial (Body)" w:eastAsia="Times New Roman" w:hAnsi="Arial (Body)" w:cs="Times New Roman"/>
      <w:szCs w:val="20"/>
      <w:lang w:val="en-US"/>
    </w:rPr>
  </w:style>
  <w:style w:type="character" w:styleId="CommentReference">
    <w:name w:val="annotation reference"/>
    <w:basedOn w:val="DefaultParagraphFont"/>
    <w:uiPriority w:val="99"/>
    <w:semiHidden/>
    <w:rsid w:val="00B245B5"/>
    <w:rPr>
      <w:sz w:val="16"/>
      <w:szCs w:val="16"/>
    </w:rPr>
  </w:style>
  <w:style w:type="character" w:customStyle="1" w:styleId="00BodyChar">
    <w:name w:val="00 Body Char"/>
    <w:basedOn w:val="DefaultParagraphFont"/>
    <w:link w:val="00Body"/>
    <w:rsid w:val="00B245B5"/>
    <w:rPr>
      <w:rFonts w:ascii="Arial (Body)" w:eastAsia="Times New Roman" w:hAnsi="Arial (Body)" w:cs="Times New Roman"/>
      <w:szCs w:val="20"/>
      <w:lang w:val="en-US"/>
    </w:rPr>
  </w:style>
  <w:style w:type="table" w:styleId="TableGrid">
    <w:name w:val="Table Grid"/>
    <w:basedOn w:val="TableNormal"/>
    <w:uiPriority w:val="39"/>
    <w:rsid w:val="003033A2"/>
    <w:pPr>
      <w:spacing w:after="0" w:line="240" w:lineRule="auto"/>
    </w:pPr>
    <w:rPr>
      <w:rFonts w:ascii="Arial" w:hAnsi="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B245B5"/>
    <w:pPr>
      <w:spacing w:after="180" w:line="240" w:lineRule="auto"/>
    </w:pPr>
    <w:rPr>
      <w:rFonts w:ascii="Arial (Body)" w:eastAsia="Times New Roman" w:hAnsi="Arial (Body)" w:cs="Times New Roman"/>
      <w:sz w:val="20"/>
      <w:szCs w:val="20"/>
      <w:lang w:val="en-US"/>
    </w:rPr>
  </w:style>
  <w:style w:type="character" w:customStyle="1" w:styleId="CommentTextChar">
    <w:name w:val="Comment Text Char"/>
    <w:basedOn w:val="DefaultParagraphFont"/>
    <w:link w:val="CommentText"/>
    <w:uiPriority w:val="99"/>
    <w:rsid w:val="00B245B5"/>
    <w:rPr>
      <w:rFonts w:ascii="Arial (Body)" w:eastAsia="Times New Roman" w:hAnsi="Arial (Body)" w:cs="Times New Roman"/>
      <w:sz w:val="20"/>
      <w:szCs w:val="20"/>
      <w:lang w:val="en-US"/>
    </w:rPr>
  </w:style>
  <w:style w:type="numbering" w:styleId="1ai">
    <w:name w:val="Outline List 1"/>
    <w:basedOn w:val="NoList"/>
    <w:uiPriority w:val="99"/>
    <w:semiHidden/>
    <w:unhideWhenUsed/>
    <w:rsid w:val="00B245B5"/>
    <w:pPr>
      <w:numPr>
        <w:numId w:val="1"/>
      </w:numPr>
    </w:pPr>
  </w:style>
  <w:style w:type="paragraph" w:styleId="CommentSubject">
    <w:name w:val="annotation subject"/>
    <w:basedOn w:val="CommentText"/>
    <w:next w:val="CommentText"/>
    <w:link w:val="CommentSubjectChar"/>
    <w:uiPriority w:val="99"/>
    <w:semiHidden/>
    <w:unhideWhenUsed/>
    <w:rsid w:val="00F60C70"/>
    <w:pPr>
      <w:spacing w:after="160"/>
    </w:pPr>
    <w:rPr>
      <w:rFonts w:asciiTheme="minorHAnsi" w:eastAsiaTheme="minorHAnsi" w:hAnsiTheme="minorHAnsi" w:cstheme="minorBidi"/>
      <w:b/>
      <w:bCs/>
      <w:lang w:val="en-AU"/>
    </w:rPr>
  </w:style>
  <w:style w:type="character" w:customStyle="1" w:styleId="CommentSubjectChar">
    <w:name w:val="Comment Subject Char"/>
    <w:basedOn w:val="CommentTextChar"/>
    <w:link w:val="CommentSubject"/>
    <w:uiPriority w:val="99"/>
    <w:semiHidden/>
    <w:rsid w:val="00F60C70"/>
    <w:rPr>
      <w:rFonts w:ascii="Arial (Body)" w:eastAsia="Times New Roman" w:hAnsi="Arial (Body)" w:cs="Times New Roman"/>
      <w:b/>
      <w:bCs/>
      <w:sz w:val="20"/>
      <w:szCs w:val="20"/>
      <w:lang w:val="en-US"/>
    </w:rPr>
  </w:style>
  <w:style w:type="paragraph" w:styleId="NormalWeb">
    <w:name w:val="Normal (Web)"/>
    <w:basedOn w:val="Normal"/>
    <w:uiPriority w:val="99"/>
    <w:semiHidden/>
    <w:unhideWhenUsed/>
    <w:rsid w:val="002775A6"/>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2775A6"/>
    <w:pPr>
      <w:ind w:left="720"/>
      <w:contextualSpacing/>
    </w:pPr>
  </w:style>
  <w:style w:type="character" w:customStyle="1" w:styleId="normaltextrun">
    <w:name w:val="normaltextrun"/>
    <w:basedOn w:val="DefaultParagraphFont"/>
    <w:rsid w:val="00C352E4"/>
  </w:style>
  <w:style w:type="paragraph" w:customStyle="1" w:styleId="paragraph">
    <w:name w:val="paragraph"/>
    <w:basedOn w:val="Normal"/>
    <w:rsid w:val="00267A5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eop">
    <w:name w:val="eop"/>
    <w:basedOn w:val="DefaultParagraphFont"/>
    <w:rsid w:val="00267A5C"/>
  </w:style>
  <w:style w:type="character" w:customStyle="1" w:styleId="spellingerror">
    <w:name w:val="spellingerror"/>
    <w:basedOn w:val="DefaultParagraphFont"/>
    <w:rsid w:val="00F0683A"/>
  </w:style>
  <w:style w:type="character" w:customStyle="1" w:styleId="contextualspellingandgrammarerror">
    <w:name w:val="contextualspellingandgrammarerror"/>
    <w:basedOn w:val="DefaultParagraphFont"/>
    <w:rsid w:val="00F0683A"/>
  </w:style>
  <w:style w:type="table" w:styleId="PlainTable1">
    <w:name w:val="Plain Table 1"/>
    <w:basedOn w:val="TableNormal"/>
    <w:uiPriority w:val="41"/>
    <w:rsid w:val="00D414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20MajorH1">
    <w:name w:val="20 Major H1"/>
    <w:basedOn w:val="Normal"/>
    <w:next w:val="00Body"/>
    <w:link w:val="20MajorH1Char"/>
    <w:uiPriority w:val="2"/>
    <w:qFormat/>
    <w:rsid w:val="003033A2"/>
    <w:pPr>
      <w:keepNext/>
      <w:keepLines/>
      <w:spacing w:before="480" w:after="180" w:line="264" w:lineRule="auto"/>
      <w:outlineLvl w:val="0"/>
    </w:pPr>
    <w:rPr>
      <w:rFonts w:eastAsia="Times New Roman" w:cs="Times New Roman"/>
      <w:b/>
      <w:color w:val="C41F3E"/>
      <w:kern w:val="28"/>
      <w:sz w:val="32"/>
      <w:szCs w:val="20"/>
      <w:lang w:val="en-US"/>
      <w14:numForm w14:val="lining"/>
    </w:rPr>
  </w:style>
  <w:style w:type="character" w:customStyle="1" w:styleId="20MajorH1Char">
    <w:name w:val="20 Major H1 Char"/>
    <w:basedOn w:val="DefaultParagraphFont"/>
    <w:link w:val="20MajorH1"/>
    <w:uiPriority w:val="2"/>
    <w:rsid w:val="00421C18"/>
    <w:rPr>
      <w:rFonts w:eastAsia="Times New Roman" w:cs="Times New Roman"/>
      <w:b/>
      <w:color w:val="C41F3E"/>
      <w:kern w:val="28"/>
      <w:sz w:val="32"/>
      <w:szCs w:val="20"/>
      <w:lang w:val="en-US"/>
      <w14:numForm w14:val="lining"/>
    </w:rPr>
  </w:style>
  <w:style w:type="character" w:customStyle="1" w:styleId="Heading1Char">
    <w:name w:val="Heading 1 Char"/>
    <w:basedOn w:val="DefaultParagraphFont"/>
    <w:link w:val="Heading1"/>
    <w:uiPriority w:val="9"/>
    <w:rsid w:val="006C3FD1"/>
    <w:rPr>
      <w:rFonts w:ascii="Arial" w:eastAsiaTheme="majorEastAsia" w:hAnsi="Arial"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1187">
      <w:bodyDiv w:val="1"/>
      <w:marLeft w:val="0"/>
      <w:marRight w:val="0"/>
      <w:marTop w:val="0"/>
      <w:marBottom w:val="0"/>
      <w:divBdr>
        <w:top w:val="none" w:sz="0" w:space="0" w:color="auto"/>
        <w:left w:val="none" w:sz="0" w:space="0" w:color="auto"/>
        <w:bottom w:val="none" w:sz="0" w:space="0" w:color="auto"/>
        <w:right w:val="none" w:sz="0" w:space="0" w:color="auto"/>
      </w:divBdr>
    </w:div>
    <w:div w:id="112596865">
      <w:bodyDiv w:val="1"/>
      <w:marLeft w:val="0"/>
      <w:marRight w:val="0"/>
      <w:marTop w:val="0"/>
      <w:marBottom w:val="0"/>
      <w:divBdr>
        <w:top w:val="none" w:sz="0" w:space="0" w:color="auto"/>
        <w:left w:val="none" w:sz="0" w:space="0" w:color="auto"/>
        <w:bottom w:val="none" w:sz="0" w:space="0" w:color="auto"/>
        <w:right w:val="none" w:sz="0" w:space="0" w:color="auto"/>
      </w:divBdr>
    </w:div>
    <w:div w:id="173500170">
      <w:bodyDiv w:val="1"/>
      <w:marLeft w:val="0"/>
      <w:marRight w:val="0"/>
      <w:marTop w:val="0"/>
      <w:marBottom w:val="0"/>
      <w:divBdr>
        <w:top w:val="none" w:sz="0" w:space="0" w:color="auto"/>
        <w:left w:val="none" w:sz="0" w:space="0" w:color="auto"/>
        <w:bottom w:val="none" w:sz="0" w:space="0" w:color="auto"/>
        <w:right w:val="none" w:sz="0" w:space="0" w:color="auto"/>
      </w:divBdr>
    </w:div>
    <w:div w:id="225533945">
      <w:bodyDiv w:val="1"/>
      <w:marLeft w:val="0"/>
      <w:marRight w:val="0"/>
      <w:marTop w:val="0"/>
      <w:marBottom w:val="0"/>
      <w:divBdr>
        <w:top w:val="none" w:sz="0" w:space="0" w:color="auto"/>
        <w:left w:val="none" w:sz="0" w:space="0" w:color="auto"/>
        <w:bottom w:val="none" w:sz="0" w:space="0" w:color="auto"/>
        <w:right w:val="none" w:sz="0" w:space="0" w:color="auto"/>
      </w:divBdr>
    </w:div>
    <w:div w:id="251594516">
      <w:bodyDiv w:val="1"/>
      <w:marLeft w:val="0"/>
      <w:marRight w:val="0"/>
      <w:marTop w:val="0"/>
      <w:marBottom w:val="0"/>
      <w:divBdr>
        <w:top w:val="none" w:sz="0" w:space="0" w:color="auto"/>
        <w:left w:val="none" w:sz="0" w:space="0" w:color="auto"/>
        <w:bottom w:val="none" w:sz="0" w:space="0" w:color="auto"/>
        <w:right w:val="none" w:sz="0" w:space="0" w:color="auto"/>
      </w:divBdr>
      <w:divsChild>
        <w:div w:id="262610199">
          <w:marLeft w:val="0"/>
          <w:marRight w:val="0"/>
          <w:marTop w:val="0"/>
          <w:marBottom w:val="0"/>
          <w:divBdr>
            <w:top w:val="none" w:sz="0" w:space="0" w:color="auto"/>
            <w:left w:val="none" w:sz="0" w:space="0" w:color="auto"/>
            <w:bottom w:val="none" w:sz="0" w:space="0" w:color="auto"/>
            <w:right w:val="none" w:sz="0" w:space="0" w:color="auto"/>
          </w:divBdr>
        </w:div>
        <w:div w:id="356976643">
          <w:marLeft w:val="0"/>
          <w:marRight w:val="0"/>
          <w:marTop w:val="0"/>
          <w:marBottom w:val="0"/>
          <w:divBdr>
            <w:top w:val="none" w:sz="0" w:space="0" w:color="auto"/>
            <w:left w:val="none" w:sz="0" w:space="0" w:color="auto"/>
            <w:bottom w:val="none" w:sz="0" w:space="0" w:color="auto"/>
            <w:right w:val="none" w:sz="0" w:space="0" w:color="auto"/>
          </w:divBdr>
        </w:div>
        <w:div w:id="556628091">
          <w:marLeft w:val="0"/>
          <w:marRight w:val="0"/>
          <w:marTop w:val="0"/>
          <w:marBottom w:val="0"/>
          <w:divBdr>
            <w:top w:val="none" w:sz="0" w:space="0" w:color="auto"/>
            <w:left w:val="none" w:sz="0" w:space="0" w:color="auto"/>
            <w:bottom w:val="none" w:sz="0" w:space="0" w:color="auto"/>
            <w:right w:val="none" w:sz="0" w:space="0" w:color="auto"/>
          </w:divBdr>
        </w:div>
        <w:div w:id="568074526">
          <w:marLeft w:val="0"/>
          <w:marRight w:val="0"/>
          <w:marTop w:val="0"/>
          <w:marBottom w:val="0"/>
          <w:divBdr>
            <w:top w:val="none" w:sz="0" w:space="0" w:color="auto"/>
            <w:left w:val="none" w:sz="0" w:space="0" w:color="auto"/>
            <w:bottom w:val="none" w:sz="0" w:space="0" w:color="auto"/>
            <w:right w:val="none" w:sz="0" w:space="0" w:color="auto"/>
          </w:divBdr>
        </w:div>
        <w:div w:id="599607210">
          <w:marLeft w:val="0"/>
          <w:marRight w:val="0"/>
          <w:marTop w:val="0"/>
          <w:marBottom w:val="0"/>
          <w:divBdr>
            <w:top w:val="none" w:sz="0" w:space="0" w:color="auto"/>
            <w:left w:val="none" w:sz="0" w:space="0" w:color="auto"/>
            <w:bottom w:val="none" w:sz="0" w:space="0" w:color="auto"/>
            <w:right w:val="none" w:sz="0" w:space="0" w:color="auto"/>
          </w:divBdr>
        </w:div>
        <w:div w:id="1030765079">
          <w:marLeft w:val="0"/>
          <w:marRight w:val="0"/>
          <w:marTop w:val="0"/>
          <w:marBottom w:val="0"/>
          <w:divBdr>
            <w:top w:val="none" w:sz="0" w:space="0" w:color="auto"/>
            <w:left w:val="none" w:sz="0" w:space="0" w:color="auto"/>
            <w:bottom w:val="none" w:sz="0" w:space="0" w:color="auto"/>
            <w:right w:val="none" w:sz="0" w:space="0" w:color="auto"/>
          </w:divBdr>
        </w:div>
        <w:div w:id="1234395873">
          <w:marLeft w:val="0"/>
          <w:marRight w:val="0"/>
          <w:marTop w:val="0"/>
          <w:marBottom w:val="0"/>
          <w:divBdr>
            <w:top w:val="none" w:sz="0" w:space="0" w:color="auto"/>
            <w:left w:val="none" w:sz="0" w:space="0" w:color="auto"/>
            <w:bottom w:val="none" w:sz="0" w:space="0" w:color="auto"/>
            <w:right w:val="none" w:sz="0" w:space="0" w:color="auto"/>
          </w:divBdr>
        </w:div>
        <w:div w:id="2015954791">
          <w:marLeft w:val="0"/>
          <w:marRight w:val="0"/>
          <w:marTop w:val="0"/>
          <w:marBottom w:val="0"/>
          <w:divBdr>
            <w:top w:val="none" w:sz="0" w:space="0" w:color="auto"/>
            <w:left w:val="none" w:sz="0" w:space="0" w:color="auto"/>
            <w:bottom w:val="none" w:sz="0" w:space="0" w:color="auto"/>
            <w:right w:val="none" w:sz="0" w:space="0" w:color="auto"/>
          </w:divBdr>
        </w:div>
        <w:div w:id="2031293463">
          <w:marLeft w:val="0"/>
          <w:marRight w:val="0"/>
          <w:marTop w:val="0"/>
          <w:marBottom w:val="0"/>
          <w:divBdr>
            <w:top w:val="none" w:sz="0" w:space="0" w:color="auto"/>
            <w:left w:val="none" w:sz="0" w:space="0" w:color="auto"/>
            <w:bottom w:val="none" w:sz="0" w:space="0" w:color="auto"/>
            <w:right w:val="none" w:sz="0" w:space="0" w:color="auto"/>
          </w:divBdr>
        </w:div>
        <w:div w:id="2113892714">
          <w:marLeft w:val="0"/>
          <w:marRight w:val="0"/>
          <w:marTop w:val="0"/>
          <w:marBottom w:val="0"/>
          <w:divBdr>
            <w:top w:val="none" w:sz="0" w:space="0" w:color="auto"/>
            <w:left w:val="none" w:sz="0" w:space="0" w:color="auto"/>
            <w:bottom w:val="none" w:sz="0" w:space="0" w:color="auto"/>
            <w:right w:val="none" w:sz="0" w:space="0" w:color="auto"/>
          </w:divBdr>
        </w:div>
      </w:divsChild>
    </w:div>
    <w:div w:id="271405677">
      <w:bodyDiv w:val="1"/>
      <w:marLeft w:val="0"/>
      <w:marRight w:val="0"/>
      <w:marTop w:val="0"/>
      <w:marBottom w:val="0"/>
      <w:divBdr>
        <w:top w:val="none" w:sz="0" w:space="0" w:color="auto"/>
        <w:left w:val="none" w:sz="0" w:space="0" w:color="auto"/>
        <w:bottom w:val="none" w:sz="0" w:space="0" w:color="auto"/>
        <w:right w:val="none" w:sz="0" w:space="0" w:color="auto"/>
      </w:divBdr>
    </w:div>
    <w:div w:id="422915710">
      <w:bodyDiv w:val="1"/>
      <w:marLeft w:val="0"/>
      <w:marRight w:val="0"/>
      <w:marTop w:val="0"/>
      <w:marBottom w:val="0"/>
      <w:divBdr>
        <w:top w:val="none" w:sz="0" w:space="0" w:color="auto"/>
        <w:left w:val="none" w:sz="0" w:space="0" w:color="auto"/>
        <w:bottom w:val="none" w:sz="0" w:space="0" w:color="auto"/>
        <w:right w:val="none" w:sz="0" w:space="0" w:color="auto"/>
      </w:divBdr>
    </w:div>
    <w:div w:id="455022770">
      <w:bodyDiv w:val="1"/>
      <w:marLeft w:val="0"/>
      <w:marRight w:val="0"/>
      <w:marTop w:val="0"/>
      <w:marBottom w:val="0"/>
      <w:divBdr>
        <w:top w:val="none" w:sz="0" w:space="0" w:color="auto"/>
        <w:left w:val="none" w:sz="0" w:space="0" w:color="auto"/>
        <w:bottom w:val="none" w:sz="0" w:space="0" w:color="auto"/>
        <w:right w:val="none" w:sz="0" w:space="0" w:color="auto"/>
      </w:divBdr>
    </w:div>
    <w:div w:id="580330511">
      <w:bodyDiv w:val="1"/>
      <w:marLeft w:val="0"/>
      <w:marRight w:val="0"/>
      <w:marTop w:val="0"/>
      <w:marBottom w:val="0"/>
      <w:divBdr>
        <w:top w:val="none" w:sz="0" w:space="0" w:color="auto"/>
        <w:left w:val="none" w:sz="0" w:space="0" w:color="auto"/>
        <w:bottom w:val="none" w:sz="0" w:space="0" w:color="auto"/>
        <w:right w:val="none" w:sz="0" w:space="0" w:color="auto"/>
      </w:divBdr>
    </w:div>
    <w:div w:id="612707913">
      <w:bodyDiv w:val="1"/>
      <w:marLeft w:val="0"/>
      <w:marRight w:val="0"/>
      <w:marTop w:val="0"/>
      <w:marBottom w:val="0"/>
      <w:divBdr>
        <w:top w:val="none" w:sz="0" w:space="0" w:color="auto"/>
        <w:left w:val="none" w:sz="0" w:space="0" w:color="auto"/>
        <w:bottom w:val="none" w:sz="0" w:space="0" w:color="auto"/>
        <w:right w:val="none" w:sz="0" w:space="0" w:color="auto"/>
      </w:divBdr>
    </w:div>
    <w:div w:id="821506061">
      <w:bodyDiv w:val="1"/>
      <w:marLeft w:val="0"/>
      <w:marRight w:val="0"/>
      <w:marTop w:val="0"/>
      <w:marBottom w:val="0"/>
      <w:divBdr>
        <w:top w:val="none" w:sz="0" w:space="0" w:color="auto"/>
        <w:left w:val="none" w:sz="0" w:space="0" w:color="auto"/>
        <w:bottom w:val="none" w:sz="0" w:space="0" w:color="auto"/>
        <w:right w:val="none" w:sz="0" w:space="0" w:color="auto"/>
      </w:divBdr>
    </w:div>
    <w:div w:id="824443157">
      <w:bodyDiv w:val="1"/>
      <w:marLeft w:val="0"/>
      <w:marRight w:val="0"/>
      <w:marTop w:val="0"/>
      <w:marBottom w:val="0"/>
      <w:divBdr>
        <w:top w:val="none" w:sz="0" w:space="0" w:color="auto"/>
        <w:left w:val="none" w:sz="0" w:space="0" w:color="auto"/>
        <w:bottom w:val="none" w:sz="0" w:space="0" w:color="auto"/>
        <w:right w:val="none" w:sz="0" w:space="0" w:color="auto"/>
      </w:divBdr>
    </w:div>
    <w:div w:id="845679479">
      <w:bodyDiv w:val="1"/>
      <w:marLeft w:val="0"/>
      <w:marRight w:val="0"/>
      <w:marTop w:val="0"/>
      <w:marBottom w:val="0"/>
      <w:divBdr>
        <w:top w:val="none" w:sz="0" w:space="0" w:color="auto"/>
        <w:left w:val="none" w:sz="0" w:space="0" w:color="auto"/>
        <w:bottom w:val="none" w:sz="0" w:space="0" w:color="auto"/>
        <w:right w:val="none" w:sz="0" w:space="0" w:color="auto"/>
      </w:divBdr>
    </w:div>
    <w:div w:id="986280702">
      <w:bodyDiv w:val="1"/>
      <w:marLeft w:val="0"/>
      <w:marRight w:val="0"/>
      <w:marTop w:val="0"/>
      <w:marBottom w:val="0"/>
      <w:divBdr>
        <w:top w:val="none" w:sz="0" w:space="0" w:color="auto"/>
        <w:left w:val="none" w:sz="0" w:space="0" w:color="auto"/>
        <w:bottom w:val="none" w:sz="0" w:space="0" w:color="auto"/>
        <w:right w:val="none" w:sz="0" w:space="0" w:color="auto"/>
      </w:divBdr>
    </w:div>
    <w:div w:id="1053121111">
      <w:bodyDiv w:val="1"/>
      <w:marLeft w:val="0"/>
      <w:marRight w:val="0"/>
      <w:marTop w:val="0"/>
      <w:marBottom w:val="0"/>
      <w:divBdr>
        <w:top w:val="none" w:sz="0" w:space="0" w:color="auto"/>
        <w:left w:val="none" w:sz="0" w:space="0" w:color="auto"/>
        <w:bottom w:val="none" w:sz="0" w:space="0" w:color="auto"/>
        <w:right w:val="none" w:sz="0" w:space="0" w:color="auto"/>
      </w:divBdr>
    </w:div>
    <w:div w:id="1113133414">
      <w:bodyDiv w:val="1"/>
      <w:marLeft w:val="0"/>
      <w:marRight w:val="0"/>
      <w:marTop w:val="0"/>
      <w:marBottom w:val="0"/>
      <w:divBdr>
        <w:top w:val="none" w:sz="0" w:space="0" w:color="auto"/>
        <w:left w:val="none" w:sz="0" w:space="0" w:color="auto"/>
        <w:bottom w:val="none" w:sz="0" w:space="0" w:color="auto"/>
        <w:right w:val="none" w:sz="0" w:space="0" w:color="auto"/>
      </w:divBdr>
    </w:div>
    <w:div w:id="1201742721">
      <w:bodyDiv w:val="1"/>
      <w:marLeft w:val="0"/>
      <w:marRight w:val="0"/>
      <w:marTop w:val="0"/>
      <w:marBottom w:val="0"/>
      <w:divBdr>
        <w:top w:val="none" w:sz="0" w:space="0" w:color="auto"/>
        <w:left w:val="none" w:sz="0" w:space="0" w:color="auto"/>
        <w:bottom w:val="none" w:sz="0" w:space="0" w:color="auto"/>
        <w:right w:val="none" w:sz="0" w:space="0" w:color="auto"/>
      </w:divBdr>
    </w:div>
    <w:div w:id="1225095977">
      <w:bodyDiv w:val="1"/>
      <w:marLeft w:val="0"/>
      <w:marRight w:val="0"/>
      <w:marTop w:val="0"/>
      <w:marBottom w:val="0"/>
      <w:divBdr>
        <w:top w:val="none" w:sz="0" w:space="0" w:color="auto"/>
        <w:left w:val="none" w:sz="0" w:space="0" w:color="auto"/>
        <w:bottom w:val="none" w:sz="0" w:space="0" w:color="auto"/>
        <w:right w:val="none" w:sz="0" w:space="0" w:color="auto"/>
      </w:divBdr>
    </w:div>
    <w:div w:id="1360005972">
      <w:bodyDiv w:val="1"/>
      <w:marLeft w:val="0"/>
      <w:marRight w:val="0"/>
      <w:marTop w:val="0"/>
      <w:marBottom w:val="0"/>
      <w:divBdr>
        <w:top w:val="none" w:sz="0" w:space="0" w:color="auto"/>
        <w:left w:val="none" w:sz="0" w:space="0" w:color="auto"/>
        <w:bottom w:val="none" w:sz="0" w:space="0" w:color="auto"/>
        <w:right w:val="none" w:sz="0" w:space="0" w:color="auto"/>
      </w:divBdr>
    </w:div>
    <w:div w:id="1399133475">
      <w:bodyDiv w:val="1"/>
      <w:marLeft w:val="0"/>
      <w:marRight w:val="0"/>
      <w:marTop w:val="0"/>
      <w:marBottom w:val="0"/>
      <w:divBdr>
        <w:top w:val="none" w:sz="0" w:space="0" w:color="auto"/>
        <w:left w:val="none" w:sz="0" w:space="0" w:color="auto"/>
        <w:bottom w:val="none" w:sz="0" w:space="0" w:color="auto"/>
        <w:right w:val="none" w:sz="0" w:space="0" w:color="auto"/>
      </w:divBdr>
    </w:div>
    <w:div w:id="1433666454">
      <w:bodyDiv w:val="1"/>
      <w:marLeft w:val="0"/>
      <w:marRight w:val="0"/>
      <w:marTop w:val="0"/>
      <w:marBottom w:val="0"/>
      <w:divBdr>
        <w:top w:val="none" w:sz="0" w:space="0" w:color="auto"/>
        <w:left w:val="none" w:sz="0" w:space="0" w:color="auto"/>
        <w:bottom w:val="none" w:sz="0" w:space="0" w:color="auto"/>
        <w:right w:val="none" w:sz="0" w:space="0" w:color="auto"/>
      </w:divBdr>
    </w:div>
    <w:div w:id="1442383684">
      <w:bodyDiv w:val="1"/>
      <w:marLeft w:val="0"/>
      <w:marRight w:val="0"/>
      <w:marTop w:val="0"/>
      <w:marBottom w:val="0"/>
      <w:divBdr>
        <w:top w:val="none" w:sz="0" w:space="0" w:color="auto"/>
        <w:left w:val="none" w:sz="0" w:space="0" w:color="auto"/>
        <w:bottom w:val="none" w:sz="0" w:space="0" w:color="auto"/>
        <w:right w:val="none" w:sz="0" w:space="0" w:color="auto"/>
      </w:divBdr>
    </w:div>
    <w:div w:id="1495872305">
      <w:bodyDiv w:val="1"/>
      <w:marLeft w:val="0"/>
      <w:marRight w:val="0"/>
      <w:marTop w:val="0"/>
      <w:marBottom w:val="0"/>
      <w:divBdr>
        <w:top w:val="none" w:sz="0" w:space="0" w:color="auto"/>
        <w:left w:val="none" w:sz="0" w:space="0" w:color="auto"/>
        <w:bottom w:val="none" w:sz="0" w:space="0" w:color="auto"/>
        <w:right w:val="none" w:sz="0" w:space="0" w:color="auto"/>
      </w:divBdr>
    </w:div>
    <w:div w:id="1581678232">
      <w:bodyDiv w:val="1"/>
      <w:marLeft w:val="0"/>
      <w:marRight w:val="0"/>
      <w:marTop w:val="0"/>
      <w:marBottom w:val="0"/>
      <w:divBdr>
        <w:top w:val="none" w:sz="0" w:space="0" w:color="auto"/>
        <w:left w:val="none" w:sz="0" w:space="0" w:color="auto"/>
        <w:bottom w:val="none" w:sz="0" w:space="0" w:color="auto"/>
        <w:right w:val="none" w:sz="0" w:space="0" w:color="auto"/>
      </w:divBdr>
    </w:div>
    <w:div w:id="1757438534">
      <w:bodyDiv w:val="1"/>
      <w:marLeft w:val="0"/>
      <w:marRight w:val="0"/>
      <w:marTop w:val="0"/>
      <w:marBottom w:val="0"/>
      <w:divBdr>
        <w:top w:val="none" w:sz="0" w:space="0" w:color="auto"/>
        <w:left w:val="none" w:sz="0" w:space="0" w:color="auto"/>
        <w:bottom w:val="none" w:sz="0" w:space="0" w:color="auto"/>
        <w:right w:val="none" w:sz="0" w:space="0" w:color="auto"/>
      </w:divBdr>
    </w:div>
    <w:div w:id="1767143069">
      <w:bodyDiv w:val="1"/>
      <w:marLeft w:val="0"/>
      <w:marRight w:val="0"/>
      <w:marTop w:val="0"/>
      <w:marBottom w:val="0"/>
      <w:divBdr>
        <w:top w:val="none" w:sz="0" w:space="0" w:color="auto"/>
        <w:left w:val="none" w:sz="0" w:space="0" w:color="auto"/>
        <w:bottom w:val="none" w:sz="0" w:space="0" w:color="auto"/>
        <w:right w:val="none" w:sz="0" w:space="0" w:color="auto"/>
      </w:divBdr>
    </w:div>
    <w:div w:id="1786729832">
      <w:bodyDiv w:val="1"/>
      <w:marLeft w:val="0"/>
      <w:marRight w:val="0"/>
      <w:marTop w:val="0"/>
      <w:marBottom w:val="0"/>
      <w:divBdr>
        <w:top w:val="none" w:sz="0" w:space="0" w:color="auto"/>
        <w:left w:val="none" w:sz="0" w:space="0" w:color="auto"/>
        <w:bottom w:val="none" w:sz="0" w:space="0" w:color="auto"/>
        <w:right w:val="none" w:sz="0" w:space="0" w:color="auto"/>
      </w:divBdr>
    </w:div>
    <w:div w:id="1795634374">
      <w:bodyDiv w:val="1"/>
      <w:marLeft w:val="0"/>
      <w:marRight w:val="0"/>
      <w:marTop w:val="0"/>
      <w:marBottom w:val="0"/>
      <w:divBdr>
        <w:top w:val="none" w:sz="0" w:space="0" w:color="auto"/>
        <w:left w:val="none" w:sz="0" w:space="0" w:color="auto"/>
        <w:bottom w:val="none" w:sz="0" w:space="0" w:color="auto"/>
        <w:right w:val="none" w:sz="0" w:space="0" w:color="auto"/>
      </w:divBdr>
    </w:div>
    <w:div w:id="1816753552">
      <w:bodyDiv w:val="1"/>
      <w:marLeft w:val="0"/>
      <w:marRight w:val="0"/>
      <w:marTop w:val="0"/>
      <w:marBottom w:val="0"/>
      <w:divBdr>
        <w:top w:val="none" w:sz="0" w:space="0" w:color="auto"/>
        <w:left w:val="none" w:sz="0" w:space="0" w:color="auto"/>
        <w:bottom w:val="none" w:sz="0" w:space="0" w:color="auto"/>
        <w:right w:val="none" w:sz="0" w:space="0" w:color="auto"/>
      </w:divBdr>
    </w:div>
    <w:div w:id="1880311877">
      <w:bodyDiv w:val="1"/>
      <w:marLeft w:val="0"/>
      <w:marRight w:val="0"/>
      <w:marTop w:val="0"/>
      <w:marBottom w:val="0"/>
      <w:divBdr>
        <w:top w:val="none" w:sz="0" w:space="0" w:color="auto"/>
        <w:left w:val="none" w:sz="0" w:space="0" w:color="auto"/>
        <w:bottom w:val="none" w:sz="0" w:space="0" w:color="auto"/>
        <w:right w:val="none" w:sz="0" w:space="0" w:color="auto"/>
      </w:divBdr>
    </w:div>
    <w:div w:id="1893686035">
      <w:bodyDiv w:val="1"/>
      <w:marLeft w:val="0"/>
      <w:marRight w:val="0"/>
      <w:marTop w:val="0"/>
      <w:marBottom w:val="0"/>
      <w:divBdr>
        <w:top w:val="none" w:sz="0" w:space="0" w:color="auto"/>
        <w:left w:val="none" w:sz="0" w:space="0" w:color="auto"/>
        <w:bottom w:val="none" w:sz="0" w:space="0" w:color="auto"/>
        <w:right w:val="none" w:sz="0" w:space="0" w:color="auto"/>
      </w:divBdr>
    </w:div>
    <w:div w:id="2010136114">
      <w:bodyDiv w:val="1"/>
      <w:marLeft w:val="0"/>
      <w:marRight w:val="0"/>
      <w:marTop w:val="0"/>
      <w:marBottom w:val="0"/>
      <w:divBdr>
        <w:top w:val="none" w:sz="0" w:space="0" w:color="auto"/>
        <w:left w:val="none" w:sz="0" w:space="0" w:color="auto"/>
        <w:bottom w:val="none" w:sz="0" w:space="0" w:color="auto"/>
        <w:right w:val="none" w:sz="0" w:space="0" w:color="auto"/>
      </w:divBdr>
    </w:div>
    <w:div w:id="2023311768">
      <w:bodyDiv w:val="1"/>
      <w:marLeft w:val="0"/>
      <w:marRight w:val="0"/>
      <w:marTop w:val="0"/>
      <w:marBottom w:val="0"/>
      <w:divBdr>
        <w:top w:val="none" w:sz="0" w:space="0" w:color="auto"/>
        <w:left w:val="none" w:sz="0" w:space="0" w:color="auto"/>
        <w:bottom w:val="none" w:sz="0" w:space="0" w:color="auto"/>
        <w:right w:val="none" w:sz="0" w:space="0" w:color="auto"/>
      </w:divBdr>
    </w:div>
    <w:div w:id="205534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A0662CC577B943BC1C7577216597AE" ma:contentTypeVersion="14" ma:contentTypeDescription="Create a new document." ma:contentTypeScope="" ma:versionID="7dd1f4abffd7048ab047c092326da2cc">
  <xsd:schema xmlns:xsd="http://www.w3.org/2001/XMLSchema" xmlns:xs="http://www.w3.org/2001/XMLSchema" xmlns:p="http://schemas.microsoft.com/office/2006/metadata/properties" xmlns:ns2="10b093af-54cb-490e-8309-ab28c54a41ee" xmlns:ns3="9aaa7288-6973-4f79-9dfc-52aea9d10dd3" targetNamespace="http://schemas.microsoft.com/office/2006/metadata/properties" ma:root="true" ma:fieldsID="06a3d7837f0e912359b4ac4f0015fd92" ns2:_="" ns3:_="">
    <xsd:import namespace="10b093af-54cb-490e-8309-ab28c54a41ee"/>
    <xsd:import namespace="9aaa7288-6973-4f79-9dfc-52aea9d10dd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093af-54cb-490e-8309-ab28c54a41e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4800cd74-a05f-4b1b-a66d-fa08619b78bb}" ma:internalName="TaxCatchAll" ma:showField="CatchAllData" ma:web="10b093af-54cb-490e-8309-ab28c54a41e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aaa7288-6973-4f79-9dfc-52aea9d10d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8eb3a52-a9ad-454e-96a1-46bb4cd16a8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aa7288-6973-4f79-9dfc-52aea9d10dd3">
      <Terms xmlns="http://schemas.microsoft.com/office/infopath/2007/PartnerControls"/>
    </lcf76f155ced4ddcb4097134ff3c332f>
    <TaxCatchAll xmlns="10b093af-54cb-490e-8309-ab28c54a41ee" xsi:nil="true"/>
    <_dlc_DocId xmlns="10b093af-54cb-490e-8309-ab28c54a41ee">3UUA3RDSMNE6-961995944-5344</_dlc_DocId>
    <_dlc_DocIdUrl xmlns="10b093af-54cb-490e-8309-ab28c54a41ee">
      <Url>https://mckinseyaus.sharepoint.com/sites/spe-int-gkhbseyfptgsp421qp/_layouts/15/DocIdRedir.aspx?ID=3UUA3RDSMNE6-961995944-5344</Url>
      <Description>3UUA3RDSMNE6-961995944-5344</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8227B-7A5B-49ED-8D36-F9D33829A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093af-54cb-490e-8309-ab28c54a41ee"/>
    <ds:schemaRef ds:uri="9aaa7288-6973-4f79-9dfc-52aea9d10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A17FE4-9CAE-4B00-90E7-6424AEA3B5D5}">
  <ds:schemaRefs>
    <ds:schemaRef ds:uri="http://schemas.openxmlformats.org/officeDocument/2006/bibliography"/>
  </ds:schemaRefs>
</ds:datastoreItem>
</file>

<file path=customXml/itemProps3.xml><?xml version="1.0" encoding="utf-8"?>
<ds:datastoreItem xmlns:ds="http://schemas.openxmlformats.org/officeDocument/2006/customXml" ds:itemID="{0EC8C164-EC98-42AD-B89C-2449A40A83C8}">
  <ds:schemaRefs>
    <ds:schemaRef ds:uri="http://schemas.microsoft.com/office/2006/metadata/properties"/>
    <ds:schemaRef ds:uri="http://schemas.microsoft.com/office/infopath/2007/PartnerControls"/>
    <ds:schemaRef ds:uri="9aaa7288-6973-4f79-9dfc-52aea9d10dd3"/>
    <ds:schemaRef ds:uri="10b093af-54cb-490e-8309-ab28c54a41ee"/>
  </ds:schemaRefs>
</ds:datastoreItem>
</file>

<file path=customXml/itemProps4.xml><?xml version="1.0" encoding="utf-8"?>
<ds:datastoreItem xmlns:ds="http://schemas.openxmlformats.org/officeDocument/2006/customXml" ds:itemID="{EC4D6A62-118E-4F4B-BB97-24DD03EA7143}">
  <ds:schemaRefs>
    <ds:schemaRef ds:uri="http://schemas.microsoft.com/sharepoint/events"/>
  </ds:schemaRefs>
</ds:datastoreItem>
</file>

<file path=customXml/itemProps5.xml><?xml version="1.0" encoding="utf-8"?>
<ds:datastoreItem xmlns:ds="http://schemas.openxmlformats.org/officeDocument/2006/customXml" ds:itemID="{4ECBF3F2-44E8-4AAA-AB20-33E5C757AC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1321</Words>
  <Characters>7743</Characters>
  <Application>Microsoft Office Word</Application>
  <DocSecurity>0</DocSecurity>
  <Lines>553</Lines>
  <Paragraphs>251</Paragraphs>
  <ScaleCrop>false</ScaleCrop>
  <Company>Commonwealth Bank</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Jonnie Lawson</dc:creator>
  <cp:keywords/>
  <cp:lastModifiedBy>Gabriel Lameira</cp:lastModifiedBy>
  <cp:revision>2</cp:revision>
  <cp:lastPrinted>2026-02-05T02:06:00Z</cp:lastPrinted>
  <dcterms:created xsi:type="dcterms:W3CDTF">2026-04-15T01:03:00Z</dcterms:created>
  <dcterms:modified xsi:type="dcterms:W3CDTF">2026-04-15T01:03:00Z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0x010100A9A0662CC577B943BC1C7577216597AE</vt:lpwstr>
  </property>
  <property fmtid="{D5CDD505-2E9C-101B-9397-08002B2CF9AE}" pid="3" name="MSIP_Label_83303d7c-e5a3-4cc8-90eb-69bfd7570ac4_Parent">
    <vt:lpwstr>41a75552-f860-45e1-90d5-c0b4fc08c5e4</vt:lpwstr>
  </property>
  <property fmtid="{D5CDD505-2E9C-101B-9397-08002B2CF9AE}" pid="4" name="MSIP_Label_83303d7c-e5a3-4cc8-90eb-69bfd7570ac4_Removed">
    <vt:lpwstr>False</vt:lpwstr>
  </property>
  <property fmtid="{D5CDD505-2E9C-101B-9397-08002B2CF9AE}" pid="5" name="MSIP_Label_83303d7c-e5a3-4cc8-90eb-69bfd7570ac4_ActionId">
    <vt:lpwstr>4b831cd4-146a-4b8c-9df3-86ce04084cce</vt:lpwstr>
  </property>
  <property fmtid="{D5CDD505-2E9C-101B-9397-08002B2CF9AE}" pid="6" name="MSIP_Label_83303d7c-e5a3-4cc8-90eb-69bfd7570ac4_Name">
    <vt:lpwstr>Client \ Client Confidential</vt:lpwstr>
  </property>
  <property fmtid="{D5CDD505-2E9C-101B-9397-08002B2CF9AE}" pid="7" name="MSIP_Label_83303d7c-e5a3-4cc8-90eb-69bfd7570ac4_SetDate">
    <vt:lpwstr>2026-01-12T18:22:00Z</vt:lpwstr>
  </property>
  <property fmtid="{D5CDD505-2E9C-101B-9397-08002B2CF9AE}" pid="8" name="MSIP_Label_83303d7c-e5a3-4cc8-90eb-69bfd7570ac4_SiteId">
    <vt:lpwstr>cc8936bc-9382-4fff-87cb-6f55999549e7</vt:lpwstr>
  </property>
  <property fmtid="{D5CDD505-2E9C-101B-9397-08002B2CF9AE}" pid="9" name="MSIP_Label_83303d7c-e5a3-4cc8-90eb-69bfd7570ac4_Enabled">
    <vt:lpwstr>True</vt:lpwstr>
  </property>
  <property fmtid="{D5CDD505-2E9C-101B-9397-08002B2CF9AE}" pid="10" name="MSIP_Label_83303d7c-e5a3-4cc8-90eb-69bfd7570ac4_Extended_MSFT_Method">
    <vt:lpwstr>Standard</vt:lpwstr>
  </property>
  <property fmtid="{D5CDD505-2E9C-101B-9397-08002B2CF9AE}" pid="11" name="MSIP_Label_41a75552-f860-45e1-90d5-c0b4fc08c5e4_Enabled">
    <vt:lpwstr>True</vt:lpwstr>
  </property>
  <property fmtid="{D5CDD505-2E9C-101B-9397-08002B2CF9AE}" pid="12" name="MSIP_Label_41a75552-f860-45e1-90d5-c0b4fc08c5e4_SiteId">
    <vt:lpwstr>cc8936bc-9382-4fff-87cb-6f55999549e7</vt:lpwstr>
  </property>
  <property fmtid="{D5CDD505-2E9C-101B-9397-08002B2CF9AE}" pid="13" name="MSIP_Label_41a75552-f860-45e1-90d5-c0b4fc08c5e4_SetDate">
    <vt:lpwstr>2026-01-12T18:22:00Z</vt:lpwstr>
  </property>
  <property fmtid="{D5CDD505-2E9C-101B-9397-08002B2CF9AE}" pid="14" name="MSIP_Label_41a75552-f860-45e1-90d5-c0b4fc08c5e4_Name">
    <vt:lpwstr>Client</vt:lpwstr>
  </property>
  <property fmtid="{D5CDD505-2E9C-101B-9397-08002B2CF9AE}" pid="15" name="MSIP_Label_41a75552-f860-45e1-90d5-c0b4fc08c5e4_ActionId">
    <vt:lpwstr>7844ba2f-3354-4327-9008-d76259cdf83b</vt:lpwstr>
  </property>
  <property fmtid="{D5CDD505-2E9C-101B-9397-08002B2CF9AE}" pid="16" name="MSIP_Label_41a75552-f860-45e1-90d5-c0b4fc08c5e4_Extended_MSFT_Method">
    <vt:lpwstr>Standard</vt:lpwstr>
  </property>
  <property fmtid="{D5CDD505-2E9C-101B-9397-08002B2CF9AE}" pid="17" name="Sensitivity">
    <vt:lpwstr>Client \ Client Confidential Client</vt:lpwstr>
  </property>
  <property fmtid="{D5CDD505-2E9C-101B-9397-08002B2CF9AE}" pid="18" name="MediaServiceImageTags">
    <vt:lpwstr/>
  </property>
  <property fmtid="{D5CDD505-2E9C-101B-9397-08002B2CF9AE}" pid="19" name="docLang">
    <vt:lpwstr>en</vt:lpwstr>
  </property>
  <property fmtid="{D5CDD505-2E9C-101B-9397-08002B2CF9AE}" pid="20" name="_dlc_DocIdItemGuid">
    <vt:lpwstr>97aff9fe-78ff-4b80-9ea4-491972b7da4b</vt:lpwstr>
  </property>
</Properties>
</file>