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color w:val="EE0000"/>
        </w:rPr>
        <w:t xml:space="preserve">GEOC Alignment Form, 2026/2027 (proposed short version)</w:t>
      </w:r>
    </w:p>
    <w:p>
      <w:r>
        <w:rPr>
          <w:color w:val="EE0000"/>
        </w:rPr>
        <w:t xml:space="preserve">This document is required for all GEOC course recertifications/revisions/new courses.  Please attach to Curriculog. GEOC will not be able to review the course if the document is not attached.</w:t>
      </w:r>
    </w:p>
    <w:p/>
    <w:p>
      <w:r>
        <w:t xml:space="preserve">Proposal type     </w:t>
      </w:r>
      <w:sdt>
        <w:sdtPr>
          <w:id w:val="900001"/>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Recertification      </w:t>
      </w:r>
      <w:sdt>
        <w:sdtPr>
          <w:id w:val="900002"/>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Revision only (not up for Recertification)      </w:t>
      </w:r>
      <w:sdt>
        <w:sdtPr>
          <w:id w:val="900003"/>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New course</w:t>
      </w:r>
    </w:p>
    <w:p>
      <w:r>
        <w:t xml:space="preserve">Course Name and Number ____________________________________</w:t>
      </w:r>
    </w:p>
    <w:p>
      <w:r>
        <w:t xml:space="preserve">GE/Overlay/Code Area for this course, as approved in Curriculog under Current Breadth Area(s) Approved:</w:t>
      </w:r>
    </w:p>
    <w:p>
      <w:r>
        <w:t xml:space="preserve">Lower division   </w:t>
      </w:r>
      <w:sdt>
        <w:sdtPr>
          <w:id w:val="900004"/>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1A   </w:t>
      </w:r>
      <w:sdt>
        <w:sdtPr>
          <w:id w:val="900005"/>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1B   </w:t>
      </w:r>
      <w:sdt>
        <w:sdtPr>
          <w:id w:val="900006"/>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1C   </w:t>
      </w:r>
      <w:sdt>
        <w:sdtPr>
          <w:id w:val="900007"/>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2   </w:t>
      </w:r>
      <w:sdt>
        <w:sdtPr>
          <w:id w:val="900008"/>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3A   </w:t>
      </w:r>
      <w:sdt>
        <w:sdtPr>
          <w:id w:val="900009"/>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3B   </w:t>
      </w:r>
      <w:sdt>
        <w:sdtPr>
          <w:id w:val="900010"/>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4   </w:t>
      </w:r>
      <w:sdt>
        <w:sdtPr>
          <w:id w:val="900011"/>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5A   </w:t>
      </w:r>
      <w:sdt>
        <w:sdtPr>
          <w:id w:val="900012"/>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5B   </w:t>
      </w:r>
      <w:sdt>
        <w:sdtPr>
          <w:id w:val="900013"/>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5C   </w:t>
      </w:r>
      <w:sdt>
        <w:sdtPr>
          <w:id w:val="900014"/>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6   </w:t>
      </w:r>
    </w:p>
    <w:p>
      <w:r>
        <w:t xml:space="preserve">Upper division   </w:t>
      </w:r>
      <w:sdt>
        <w:sdtPr>
          <w:id w:val="900015"/>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UD-3   </w:t>
      </w:r>
      <w:sdt>
        <w:sdtPr>
          <w:id w:val="900016"/>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UD-4   </w:t>
      </w:r>
      <w:sdt>
        <w:sdtPr>
          <w:id w:val="900017"/>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UD-5   </w:t>
      </w:r>
    </w:p>
    <w:p>
      <w:r>
        <w:t xml:space="preserve">Overlay   </w:t>
      </w:r>
      <w:sdt>
        <w:sdtPr>
          <w:id w:val="900018"/>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Diversity   </w:t>
      </w:r>
      <w:sdt>
        <w:sdtPr>
          <w:id w:val="900019"/>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Social Justice   </w:t>
      </w:r>
      <w:sdt>
        <w:sdtPr>
          <w:id w:val="900020"/>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Sustainability   </w:t>
      </w:r>
      <w:r>
        <w:t xml:space="preserve">    Code   </w:t>
      </w:r>
      <w:sdt>
        <w:sdtPr>
          <w:id w:val="900021"/>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US-1   </w:t>
      </w:r>
      <w:sdt>
        <w:sdtPr>
          <w:id w:val="900022"/>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US-2   </w:t>
      </w:r>
      <w:sdt>
        <w:sdtPr>
          <w:id w:val="900023"/>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US-3   </w:t>
      </w:r>
    </w:p>
    <w:p>
      <w:r>
        <w:rPr>
          <w:i/>
          <w:iCs/>
        </w:rPr>
        <w:t xml:space="preserve">Areas were relabeled for Fall 2025. The </w:t>
      </w:r>
      <w:hyperlink r:id="rId20" w:history="1">
        <w:r>
          <w:rPr>
            <w:rStyle w:val="Hyperlink"/>
            <w:i/>
            <w:iCs/>
          </w:rPr>
          <w:t>GE Guide</w:t>
        </w:r>
      </w:hyperlink>
      <w:r>
        <w:rPr>
          <w:i/>
          <w:iCs/>
        </w:rPr>
        <w:t xml:space="preserve"> lists the current labels alongside the former ones.</w:t>
      </w:r>
    </w:p>
    <w:p>
      <w:r>
        <w:t xml:space="preserve">Delivery methods on the attached syllabus ____________________________________</w:t>
      </w:r>
    </w:p>
    <w:p>
      <w:r>
        <w:t xml:space="preserve">Originator ____________________________________________</w:t>
      </w:r>
    </w:p>
    <w:p>
      <w:sdt>
        <w:sdtPr>
          <w:id w:val="900024"/>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The attached syllabus carries the catalog course description, and the GEOC learning outcomes for every area named above</w:t>
      </w:r>
    </w:p>
    <w:p/>
    <w:p>
      <w:r>
        <w:t xml:space="preserve">Please copy and paste the GE/Overlay/Code (if applicable) Learning Outcomes for your course into the first table, taken from the </w:t>
      </w:r>
      <w:hyperlink r:id="rId5" w:history="1">
        <w:r>
          <w:rPr>
            <w:rStyle w:val="Hyperlink"/>
          </w:rPr>
          <w:t>GE Framework Document</w:t>
        </w:r>
      </w:hyperlink>
      <w:r>
        <w:t xml:space="preserve">. Name weeks and assignments as they appear on the attached syllabus.</w:t>
      </w:r>
    </w:p>
    <w:p/>
    <w:tbl>
      <w:tblPr>
        <w:tblW w:w="9450" w:type="dxa"/>
        <w:tblLayout w:type="fixed"/>
        <w:tblLook w:val="0600" w:firstRow="0" w:lastRow="0" w:firstColumn="0" w:lastColumn="0" w:noHBand="1" w:noVBand="1"/>
      </w:tblPr>
      <w:tblGrid>
        <w:gridCol w:w="2340"/>
        <w:gridCol w:w="990"/>
        <w:gridCol w:w="2790"/>
        <w:gridCol w:w="3330"/>
      </w:tblGrid>
      <w:tr>
        <w:trPr>
          <w:trHeight w:val="180"/>
        </w:trPr>
        <w:tc>
          <w:tcPr>
            <w:tcW w:w="9450" w:type="dxa"/>
            <w:gridSpan w:val="4"/>
            <w:tcBorders>
              <w:bottom w:val="single" w:sz="12" w:space="0" w:color="000000"/>
            </w:tcBorders>
          </w:tcPr>
          <w:p>
            <w:pPr>
              <w:pStyle w:val="Title"/>
              <w:keepNext/>
              <w:numPr>
                <w:ilvl w:val="0"/>
                <w:numId w:val="1"/>
              </w:numPr>
              <w:rPr>
                <w:sz w:val="21"/>
                <w:szCs w:val="21"/>
              </w:rPr>
            </w:pPr>
            <w:r>
              <w:rPr>
                <w:sz w:val="21"/>
                <w:szCs w:val="21"/>
              </w:rPr>
              <w:t xml:space="preserve">Alignment by learning outcome</w:t>
            </w:r>
          </w:p>
        </w:tc>
      </w:tr>
      <w:tr>
        <w:trPr>
          <w:trHeight w:val="48"/>
        </w:trPr>
        <w:tc>
          <w:tcPr>
            <w:tcW w:w="9450" w:type="dxa"/>
            <w:gridSpan w:val="4"/>
            <w:tcBorders>
              <w:top w:val="single" w:sz="12" w:space="0" w:color="000000"/>
            </w:tcBorders>
          </w:tcPr>
          <w:p>
            <w:pPr>
              <w:rPr>
                <w:sz w:val="8"/>
                <w:szCs w:val="8"/>
              </w:rPr>
            </w:pPr>
          </w:p>
        </w:tc>
      </w:tr>
      <w:tr>
        <w:trPr>
          <w:trHeight w:val="432"/>
        </w:trPr>
        <w:tc>
          <w:tcPr>
            <w:tcW w:w="9450" w:type="dxa"/>
            <w:gridSpan w:val="4"/>
          </w:tcPr>
          <w:p>
            <w:r>
              <w:t xml:space="preserve">One row for each GEOC learning outcome in the areas named above, overlays included, copied in full from the current GE Framework. For Area 6, give the outcomes the course is certified for. Then give the weeks in which the outcome is taught, what students do in those weeks, and the assignment in which they demonstrate it. One or two sentences to a cell. </w:t>
            </w:r>
            <w:r>
              <w:rPr>
                <w:i/>
                <w:iCs/>
              </w:rPr>
              <w:t xml:space="preserve">(Add rows as needed.)</w:t>
            </w:r>
          </w:p>
        </w:tc>
      </w:tr>
      <w:tr>
        <w:trPr>
          <w:trHeight w:val="80"/>
        </w:trPr>
        <w:tc>
          <w:tcPr>
            <w:tcW w:w="9450" w:type="dxa"/>
            <w:gridSpan w:val="4"/>
            <w:tcBorders>
              <w:bottom w:val="single" w:sz="4" w:space="0" w:color="000000"/>
            </w:tcBorders>
          </w:tcPr>
          <w:p>
            <w:pPr>
              <w:rPr>
                <w:sz w:val="8"/>
                <w:szCs w:val="8"/>
              </w:rPr>
            </w:pPr>
          </w:p>
        </w:tc>
      </w:tr>
      <w:tr>
        <w:trPr>
          <w:trHeight w:val="225"/>
        </w:trPr>
        <w:tc>
          <w:tcPr>
            <w:tcW w:w="234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GEOC learning outcome</w:t>
            </w:r>
          </w:p>
        </w:tc>
        <w:tc>
          <w:tcPr>
            <w:tcW w:w="99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Weeks covered</w:t>
            </w:r>
          </w:p>
        </w:tc>
        <w:tc>
          <w:tcPr>
            <w:tcW w:w="279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What students do in those weeks</w:t>
            </w:r>
          </w:p>
        </w:tc>
        <w:tc>
          <w:tcPr>
            <w:tcW w:w="333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Assignment where students demonstrate it, and how it is evaluated</w:t>
            </w:r>
          </w:p>
        </w:tc>
      </w:tr>
      <w:tr>
        <w:trPr>
          <w:trHeight w:val="520"/>
        </w:trPr>
        <w:tc>
          <w:tcPr>
            <w:tcW w:w="2340" w:type="dxa"/>
            <w:tcBorders>
              <w:top w:val="single" w:sz="4" w:space="0" w:color="000000"/>
              <w:left w:val="single" w:sz="4" w:space="0" w:color="000000"/>
              <w:bottom w:val="single" w:sz="4" w:space="0" w:color="000000"/>
              <w:right w:val="single" w:sz="4" w:space="0" w:color="000000"/>
            </w:tcBorders>
          </w:tcPr>
          <w:p>
            <w:r>
              <w:t xml:space="preserve">Example:  UD-3 LO1: Apply disciplinary methodologies from the arts and/or humanities to analyze aspects of human culture.</w:t>
            </w:r>
          </w:p>
        </w:tc>
        <w:tc>
          <w:tcPr>
            <w:tcW w:w="990" w:type="dxa"/>
            <w:tcBorders>
              <w:top w:val="single" w:sz="4" w:space="0" w:color="000000"/>
              <w:left w:val="single" w:sz="4" w:space="0" w:color="000000"/>
              <w:bottom w:val="single" w:sz="4" w:space="0" w:color="000000"/>
              <w:right w:val="single" w:sz="4" w:space="0" w:color="000000"/>
            </w:tcBorders>
          </w:tcPr>
          <w:p>
            <w:r>
              <w:t xml:space="preserve">2, 5-7, 11</w:t>
            </w:r>
          </w:p>
        </w:tc>
        <w:tc>
          <w:tcPr>
            <w:tcW w:w="2790" w:type="dxa"/>
            <w:tcBorders>
              <w:top w:val="single" w:sz="4" w:space="0" w:color="000000"/>
              <w:left w:val="single" w:sz="4" w:space="0" w:color="000000"/>
              <w:bottom w:val="single" w:sz="4" w:space="0" w:color="000000"/>
              <w:right w:val="single" w:sz="4" w:space="0" w:color="000000"/>
            </w:tcBorders>
          </w:tcPr>
          <w:p>
            <w:r>
              <w:t xml:space="preserve">Students apply close reading and contextual analysis to assigned works, and rehearse the method in weekly discussion.</w:t>
            </w:r>
          </w:p>
        </w:tc>
        <w:tc>
          <w:tcPr>
            <w:tcW w:w="3330" w:type="dxa"/>
            <w:tcBorders>
              <w:top w:val="single" w:sz="4" w:space="0" w:color="000000"/>
              <w:left w:val="single" w:sz="4" w:space="0" w:color="000000"/>
              <w:bottom w:val="single" w:sz="4" w:space="0" w:color="000000"/>
              <w:right w:val="single" w:sz="4" w:space="0" w:color="000000"/>
            </w:tcBorders>
          </w:tcPr>
          <w:p>
            <w:r>
              <w:t xml:space="preserve">Final research presentation, evaluated with the posted rubric for method and use of sources.</w:t>
            </w:r>
          </w:p>
        </w:tc>
      </w:tr>
      <w:tr>
        <w:trPr>
          <w:cantSplit/>
          <w:trHeight w:val="42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2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2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2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bl>
    <w:p/>
    <w:tbl>
      <w:tblPr>
        <w:tblW w:w="9450" w:type="dxa"/>
        <w:tblLayout w:type="fixed"/>
        <w:tblLook w:val="0600" w:firstRow="0" w:lastRow="0" w:firstColumn="0" w:lastColumn="0" w:noHBand="1" w:noVBand="1"/>
      </w:tblPr>
      <w:tblGrid>
        <w:gridCol w:w="3330"/>
        <w:gridCol w:w="6120"/>
      </w:tblGrid>
      <w:tr>
        <w:trPr>
          <w:trHeight w:val="180"/>
        </w:trPr>
        <w:tc>
          <w:tcPr>
            <w:tcW w:w="9450" w:type="dxa"/>
            <w:gridSpan w:val="2"/>
            <w:tcBorders>
              <w:bottom w:val="single" w:sz="12" w:space="0" w:color="000000"/>
            </w:tcBorders>
          </w:tcPr>
          <w:p>
            <w:pPr>
              <w:pStyle w:val="Title"/>
              <w:keepNext/>
              <w:numPr>
                <w:ilvl w:val="0"/>
                <w:numId w:val="1"/>
              </w:numPr>
              <w:rPr>
                <w:sz w:val="21"/>
                <w:szCs w:val="21"/>
              </w:rPr>
            </w:pPr>
            <w:r>
              <w:rPr>
                <w:sz w:val="21"/>
                <w:szCs w:val="21"/>
              </w:rPr>
              <w:t xml:space="preserve">Course characteristics</w:t>
            </w:r>
          </w:p>
        </w:tc>
      </w:tr>
      <w:tr>
        <w:trPr>
          <w:trHeight w:val="48"/>
        </w:trPr>
        <w:tc>
          <w:tcPr>
            <w:tcW w:w="9450" w:type="dxa"/>
            <w:gridSpan w:val="2"/>
            <w:tcBorders>
              <w:top w:val="single" w:sz="12" w:space="0" w:color="000000"/>
            </w:tcBorders>
          </w:tcPr>
          <w:p>
            <w:pPr>
              <w:rPr>
                <w:sz w:val="8"/>
                <w:szCs w:val="8"/>
              </w:rPr>
            </w:pPr>
          </w:p>
        </w:tc>
      </w:tr>
      <w:tr>
        <w:trPr>
          <w:trHeight w:val="432"/>
        </w:trPr>
        <w:tc>
          <w:tcPr>
            <w:tcW w:w="9450" w:type="dxa"/>
            <w:gridSpan w:val="2"/>
          </w:tcPr>
          <w:p>
            <w:r>
              <w:t xml:space="preserve">Complete only the characteristics that apply to the areas named above. Give the assignment and where it sits on the syllabus. Write n/a for the rest.</w:t>
            </w:r>
          </w:p>
        </w:tc>
      </w:tr>
      <w:tr>
        <w:trPr>
          <w:trHeight w:val="80"/>
        </w:trPr>
        <w:tc>
          <w:tcPr>
            <w:tcW w:w="9450" w:type="dxa"/>
            <w:gridSpan w:val="2"/>
            <w:tcBorders>
              <w:bottom w:val="single" w:sz="4" w:space="0" w:color="000000"/>
            </w:tcBorders>
          </w:tcPr>
          <w:p>
            <w:pPr>
              <w:rPr>
                <w:sz w:val="8"/>
                <w:szCs w:val="8"/>
              </w:rPr>
            </w:pPr>
          </w:p>
        </w:tc>
      </w:tr>
      <w:tr>
        <w:trPr>
          <w:trHeight w:val="225"/>
        </w:trPr>
        <w:tc>
          <w:tcPr>
            <w:tcW w:w="333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Course characteristic</w:t>
            </w:r>
          </w:p>
        </w:tc>
        <w:tc>
          <w:tcPr>
            <w:tcW w:w="612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Where the syllabus meets it</w:t>
            </w:r>
          </w:p>
        </w:tc>
      </w:tr>
      <w:tr>
        <w:trPr>
          <w:cantSplit/>
          <w:trHeight w:val="250"/>
        </w:trPr>
        <w:tc>
          <w:tcPr>
            <w:tcW w:w="3330" w:type="dxa"/>
            <w:tcBorders>
              <w:top w:val="single" w:sz="4" w:space="0" w:color="000000"/>
              <w:left w:val="single" w:sz="4" w:space="0" w:color="000000"/>
              <w:bottom w:val="single" w:sz="4" w:space="0" w:color="000000"/>
              <w:right w:val="single" w:sz="4" w:space="0" w:color="000000"/>
            </w:tcBorders>
          </w:tcPr>
          <w:p>
            <w:r>
              <w:t xml:space="preserve">Total assigned words, and the assignments that reach it</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250"/>
        </w:trPr>
        <w:tc>
          <w:tcPr>
            <w:tcW w:w="3330" w:type="dxa"/>
            <w:tcBorders>
              <w:top w:val="single" w:sz="4" w:space="0" w:color="000000"/>
              <w:left w:val="single" w:sz="4" w:space="0" w:color="000000"/>
              <w:bottom w:val="single" w:sz="4" w:space="0" w:color="000000"/>
              <w:right w:val="single" w:sz="4" w:space="0" w:color="000000"/>
            </w:tcBorders>
          </w:tcPr>
          <w:p>
            <w:r>
              <w:t xml:space="preserve">Enrollment cap</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250"/>
        </w:trPr>
        <w:tc>
          <w:tcPr>
            <w:tcW w:w="3330" w:type="dxa"/>
            <w:tcBorders>
              <w:top w:val="single" w:sz="4" w:space="0" w:color="000000"/>
              <w:left w:val="single" w:sz="4" w:space="0" w:color="000000"/>
              <w:bottom w:val="single" w:sz="4" w:space="0" w:color="000000"/>
              <w:right w:val="single" w:sz="4" w:space="0" w:color="000000"/>
            </w:tcBorders>
          </w:tcPr>
          <w:p>
            <w:r>
              <w:t xml:space="preserve">Collaboration or teamwork</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250"/>
        </w:trPr>
        <w:tc>
          <w:tcPr>
            <w:tcW w:w="3330" w:type="dxa"/>
            <w:tcBorders>
              <w:top w:val="single" w:sz="4" w:space="0" w:color="000000"/>
              <w:left w:val="single" w:sz="4" w:space="0" w:color="000000"/>
              <w:bottom w:val="single" w:sz="4" w:space="0" w:color="000000"/>
              <w:right w:val="single" w:sz="4" w:space="0" w:color="000000"/>
            </w:tcBorders>
          </w:tcPr>
          <w:p>
            <w:r>
              <w:t xml:space="preserve">Points where the instructor returns critical feedback</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250"/>
        </w:trPr>
        <w:tc>
          <w:tcPr>
            <w:tcW w:w="3330" w:type="dxa"/>
            <w:tcBorders>
              <w:top w:val="single" w:sz="4" w:space="0" w:color="000000"/>
              <w:left w:val="single" w:sz="4" w:space="0" w:color="000000"/>
              <w:bottom w:val="single" w:sz="4" w:space="0" w:color="000000"/>
              <w:right w:val="single" w:sz="4" w:space="0" w:color="000000"/>
            </w:tcBorders>
          </w:tcPr>
          <w:p>
            <w:r>
              <w:t xml:space="preserve">Oral communication</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250"/>
        </w:trPr>
        <w:tc>
          <w:tcPr>
            <w:tcW w:w="3330" w:type="dxa"/>
            <w:tcBorders>
              <w:top w:val="single" w:sz="4" w:space="0" w:color="000000"/>
              <w:left w:val="single" w:sz="4" w:space="0" w:color="000000"/>
              <w:bottom w:val="single" w:sz="4" w:space="0" w:color="000000"/>
              <w:right w:val="single" w:sz="4" w:space="0" w:color="000000"/>
            </w:tcBorders>
          </w:tcPr>
          <w:p>
            <w:r>
              <w:t xml:space="preserve">Information literacy</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250"/>
        </w:trPr>
        <w:tc>
          <w:tcPr>
            <w:tcW w:w="3330" w:type="dxa"/>
            <w:tcBorders>
              <w:top w:val="single" w:sz="4" w:space="0" w:color="000000"/>
              <w:left w:val="single" w:sz="4" w:space="0" w:color="000000"/>
              <w:bottom w:val="single" w:sz="4" w:space="0" w:color="000000"/>
              <w:right w:val="single" w:sz="4" w:space="0" w:color="000000"/>
            </w:tcBorders>
          </w:tcPr>
          <w:p>
            <w:r>
              <w:t xml:space="preserve">Any other characteristic required for this area</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420"/>
        </w:trPr>
        <w:tc>
          <w:tcPr>
            <w:tcW w:w="3330" w:type="dxa"/>
            <w:tcBorders>
              <w:top w:val="single" w:sz="4" w:space="0" w:color="000000"/>
              <w:left w:val="single" w:sz="4" w:space="0" w:color="000000"/>
              <w:bottom w:val="single" w:sz="4" w:space="0" w:color="000000"/>
              <w:right w:val="single" w:sz="4" w:space="0" w:color="000000"/>
            </w:tcBorders>
          </w:tcPr>
          <w:p>
            <w:r>
              <w:t xml:space="preserve">Differences between delivery methods, if the syllabus covers more than one</w:t>
            </w:r>
          </w:p>
        </w:tc>
        <w:tc>
          <w:tcPr>
            <w:tcW w:w="6120" w:type="dxa"/>
            <w:tcBorders>
              <w:top w:val="single" w:sz="4" w:space="0" w:color="000000"/>
              <w:left w:val="single" w:sz="4" w:space="0" w:color="000000"/>
              <w:bottom w:val="single" w:sz="4" w:space="0" w:color="000000"/>
              <w:right w:val="single" w:sz="4" w:space="0" w:color="000000"/>
            </w:tcBorders>
          </w:tcPr>
          <w:p/>
        </w:tc>
      </w:tr>
    </w:tbl>
    <w:sectPr w:rsidR="00CE61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75A3A"/>
    <w:multiLevelType w:val="hybridMultilevel"/>
    <w:tmpl w:val="FDBCD1AE"/>
    <w:lvl w:ilvl="0" w:tplc="9CA4B164">
      <w:start w:val="1"/>
      <w:numFmt w:val="decimal"/>
      <w:lvlText w:val="%1."/>
      <w:lvlJc w:val="left"/>
      <w:pPr>
        <w:ind w:left="720" w:hanging="360"/>
      </w:pPr>
    </w:lvl>
    <w:lvl w:ilvl="1" w:tplc="DA2C6C96">
      <w:start w:val="1"/>
      <w:numFmt w:val="lowerLetter"/>
      <w:lvlText w:val="%2."/>
      <w:lvlJc w:val="left"/>
      <w:pPr>
        <w:ind w:left="1440" w:hanging="360"/>
      </w:pPr>
    </w:lvl>
    <w:lvl w:ilvl="2" w:tplc="11EA9C68">
      <w:start w:val="1"/>
      <w:numFmt w:val="lowerRoman"/>
      <w:lvlText w:val="%3."/>
      <w:lvlJc w:val="right"/>
      <w:pPr>
        <w:ind w:left="2160" w:hanging="180"/>
      </w:pPr>
    </w:lvl>
    <w:lvl w:ilvl="3" w:tplc="CE505E4A">
      <w:start w:val="1"/>
      <w:numFmt w:val="decimal"/>
      <w:lvlText w:val="%4."/>
      <w:lvlJc w:val="left"/>
      <w:pPr>
        <w:ind w:left="2880" w:hanging="360"/>
      </w:pPr>
    </w:lvl>
    <w:lvl w:ilvl="4" w:tplc="D3C6CB6C">
      <w:start w:val="1"/>
      <w:numFmt w:val="lowerLetter"/>
      <w:lvlText w:val="%5."/>
      <w:lvlJc w:val="left"/>
      <w:pPr>
        <w:ind w:left="3600" w:hanging="360"/>
      </w:pPr>
    </w:lvl>
    <w:lvl w:ilvl="5" w:tplc="AB9CEA70">
      <w:start w:val="1"/>
      <w:numFmt w:val="lowerRoman"/>
      <w:lvlText w:val="%6."/>
      <w:lvlJc w:val="right"/>
      <w:pPr>
        <w:ind w:left="4320" w:hanging="180"/>
      </w:pPr>
    </w:lvl>
    <w:lvl w:ilvl="6" w:tplc="792ADD92">
      <w:start w:val="1"/>
      <w:numFmt w:val="decimal"/>
      <w:lvlText w:val="%7."/>
      <w:lvlJc w:val="left"/>
      <w:pPr>
        <w:ind w:left="5040" w:hanging="360"/>
      </w:pPr>
    </w:lvl>
    <w:lvl w:ilvl="7" w:tplc="DF22CEA4">
      <w:start w:val="1"/>
      <w:numFmt w:val="lowerLetter"/>
      <w:lvlText w:val="%8."/>
      <w:lvlJc w:val="left"/>
      <w:pPr>
        <w:ind w:left="5760" w:hanging="360"/>
      </w:pPr>
    </w:lvl>
    <w:lvl w:ilvl="8" w:tplc="08A86A06">
      <w:start w:val="1"/>
      <w:numFmt w:val="lowerRoman"/>
      <w:lvlText w:val="%9."/>
      <w:lvlJc w:val="right"/>
      <w:pPr>
        <w:ind w:left="6480" w:hanging="180"/>
      </w:pPr>
    </w:lvl>
  </w:abstractNum>
  <w:num w:numId="1" w16cid:durableId="5795590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1B0"/>
    <w:rsid w:val="0001085D"/>
    <w:rsid w:val="000127AB"/>
    <w:rsid w:val="001145D6"/>
    <w:rsid w:val="00115CFB"/>
    <w:rsid w:val="001825AC"/>
    <w:rsid w:val="001C315D"/>
    <w:rsid w:val="001E78F0"/>
    <w:rsid w:val="0024406F"/>
    <w:rsid w:val="00266F48"/>
    <w:rsid w:val="002D4BD4"/>
    <w:rsid w:val="002F2E37"/>
    <w:rsid w:val="002F630A"/>
    <w:rsid w:val="00306140"/>
    <w:rsid w:val="00323018"/>
    <w:rsid w:val="00361307"/>
    <w:rsid w:val="0036295B"/>
    <w:rsid w:val="003B3D72"/>
    <w:rsid w:val="003C676F"/>
    <w:rsid w:val="00444CA5"/>
    <w:rsid w:val="004C0BB6"/>
    <w:rsid w:val="004C4774"/>
    <w:rsid w:val="004D2137"/>
    <w:rsid w:val="004E48DC"/>
    <w:rsid w:val="00516EA0"/>
    <w:rsid w:val="005A3C5C"/>
    <w:rsid w:val="005A7FCC"/>
    <w:rsid w:val="005B2987"/>
    <w:rsid w:val="005F51C5"/>
    <w:rsid w:val="00671CB6"/>
    <w:rsid w:val="00672F78"/>
    <w:rsid w:val="0067421E"/>
    <w:rsid w:val="006A6A30"/>
    <w:rsid w:val="00727AC3"/>
    <w:rsid w:val="00752DF1"/>
    <w:rsid w:val="007D6B57"/>
    <w:rsid w:val="007E2C7D"/>
    <w:rsid w:val="007F7F85"/>
    <w:rsid w:val="00826F7A"/>
    <w:rsid w:val="00854EEC"/>
    <w:rsid w:val="00871C24"/>
    <w:rsid w:val="00884388"/>
    <w:rsid w:val="00890C93"/>
    <w:rsid w:val="00891E39"/>
    <w:rsid w:val="008D093A"/>
    <w:rsid w:val="008E6A4B"/>
    <w:rsid w:val="00932304"/>
    <w:rsid w:val="009406A7"/>
    <w:rsid w:val="00956BA4"/>
    <w:rsid w:val="00963127"/>
    <w:rsid w:val="009E1280"/>
    <w:rsid w:val="00A425C8"/>
    <w:rsid w:val="00A51147"/>
    <w:rsid w:val="00A56F19"/>
    <w:rsid w:val="00A940B5"/>
    <w:rsid w:val="00AA1B95"/>
    <w:rsid w:val="00AA776D"/>
    <w:rsid w:val="00C96C99"/>
    <w:rsid w:val="00C970D8"/>
    <w:rsid w:val="00CA47F8"/>
    <w:rsid w:val="00CA5042"/>
    <w:rsid w:val="00CE61B0"/>
    <w:rsid w:val="00D64FA3"/>
    <w:rsid w:val="00DB63A0"/>
    <w:rsid w:val="00DD43F7"/>
    <w:rsid w:val="00DE585C"/>
    <w:rsid w:val="00DE5B46"/>
    <w:rsid w:val="00DE7251"/>
    <w:rsid w:val="00E178B3"/>
    <w:rsid w:val="00E20CAE"/>
    <w:rsid w:val="00E6237E"/>
    <w:rsid w:val="00F03512"/>
    <w:rsid w:val="00F474BD"/>
    <w:rsid w:val="00F8284E"/>
    <w:rsid w:val="00FA1C58"/>
    <w:rsid w:val="00FA52E4"/>
    <w:rsid w:val="00FF61AD"/>
    <w:rsid w:val="180E2E7C"/>
    <w:rsid w:val="3BEB87EB"/>
    <w:rsid w:val="5095F585"/>
    <w:rsid w:val="51F35B53"/>
    <w:rsid w:val="55EC7D7E"/>
    <w:rsid w:val="6FF9BDD1"/>
    <w:rsid w:val="744381C0"/>
    <w:rsid w:val="7F7D79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7C61B"/>
  <w15:chartTrackingRefBased/>
  <w15:docId w15:val="{1902A406-72E8-4005-ACB2-18AD07C41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lang w:val="en-US" w:eastAsia="en-US" w:bidi="ar-SA"/>
        <w14:ligatures w14:val="standardContextual"/>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61B0"/>
    <w:pPr>
      <w:spacing w:before="30" w:after="30" w:line="240" w:lineRule="auto"/>
    </w:pPr>
    <w:rPr>
      <w:rFonts w:ascii="Arial" w:eastAsia="Arial" w:hAnsi="Arial" w:cs="Arial"/>
      <w:kern w:val="0"/>
      <w:sz w:val="16"/>
      <w:szCs w:val="16"/>
      <w:lang w:val="en"/>
      <w14:ligatures w14:val="none"/>
    </w:rPr>
  </w:style>
  <w:style w:type="paragraph" w:styleId="Heading1">
    <w:name w:val="heading 1"/>
    <w:basedOn w:val="Normal"/>
    <w:next w:val="Normal"/>
    <w:link w:val="Heading1Char"/>
    <w:uiPriority w:val="9"/>
    <w:qFormat/>
    <w:rsid w:val="009406A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9406A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9406A7"/>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9406A7"/>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9406A7"/>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9406A7"/>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9406A7"/>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9406A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406A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toUSE">
    <w:name w:val="StyletoUSE"/>
    <w:basedOn w:val="Heading1"/>
    <w:link w:val="StyletoUSEChar"/>
    <w:autoRedefine/>
    <w:rsid w:val="009406A7"/>
    <w:rPr>
      <w:rFonts w:ascii="Times New Roman" w:hAnsi="Times New Roman" w:cs="Times New Roman"/>
      <w:caps w:val="0"/>
    </w:rPr>
  </w:style>
  <w:style w:type="character" w:customStyle="1" w:styleId="StyletoUSEChar">
    <w:name w:val="StyletoUSE Char"/>
    <w:basedOn w:val="Heading1Char"/>
    <w:link w:val="StyletoUSE"/>
    <w:rsid w:val="009406A7"/>
    <w:rPr>
      <w:rFonts w:ascii="Times New Roman" w:hAnsi="Times New Roman" w:cs="Times New Roman"/>
      <w:caps w:val="0"/>
      <w:color w:val="FFFFFF" w:themeColor="background1"/>
      <w:spacing w:val="15"/>
      <w:sz w:val="22"/>
      <w:szCs w:val="22"/>
      <w:shd w:val="clear" w:color="auto" w:fill="156082" w:themeFill="accent1"/>
    </w:rPr>
  </w:style>
  <w:style w:type="character" w:customStyle="1" w:styleId="Heading1Char">
    <w:name w:val="Heading 1 Char"/>
    <w:basedOn w:val="DefaultParagraphFont"/>
    <w:link w:val="Heading1"/>
    <w:uiPriority w:val="9"/>
    <w:rsid w:val="009406A7"/>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9406A7"/>
    <w:rPr>
      <w:caps/>
      <w:spacing w:val="15"/>
      <w:shd w:val="clear" w:color="auto" w:fill="C1E4F5" w:themeFill="accent1" w:themeFillTint="33"/>
    </w:rPr>
  </w:style>
  <w:style w:type="character" w:customStyle="1" w:styleId="Heading3Char">
    <w:name w:val="Heading 3 Char"/>
    <w:basedOn w:val="DefaultParagraphFont"/>
    <w:link w:val="Heading3"/>
    <w:uiPriority w:val="9"/>
    <w:rsid w:val="009406A7"/>
    <w:rPr>
      <w:caps/>
      <w:color w:val="0A2F40" w:themeColor="accent1" w:themeShade="7F"/>
      <w:spacing w:val="15"/>
    </w:rPr>
  </w:style>
  <w:style w:type="character" w:customStyle="1" w:styleId="Heading4Char">
    <w:name w:val="Heading 4 Char"/>
    <w:basedOn w:val="DefaultParagraphFont"/>
    <w:link w:val="Heading4"/>
    <w:uiPriority w:val="9"/>
    <w:semiHidden/>
    <w:rsid w:val="009406A7"/>
    <w:rPr>
      <w:caps/>
      <w:color w:val="0F4761" w:themeColor="accent1" w:themeShade="BF"/>
      <w:spacing w:val="10"/>
    </w:rPr>
  </w:style>
  <w:style w:type="character" w:customStyle="1" w:styleId="Heading5Char">
    <w:name w:val="Heading 5 Char"/>
    <w:basedOn w:val="DefaultParagraphFont"/>
    <w:link w:val="Heading5"/>
    <w:uiPriority w:val="9"/>
    <w:semiHidden/>
    <w:rsid w:val="009406A7"/>
    <w:rPr>
      <w:caps/>
      <w:color w:val="0F4761" w:themeColor="accent1" w:themeShade="BF"/>
      <w:spacing w:val="10"/>
    </w:rPr>
  </w:style>
  <w:style w:type="character" w:customStyle="1" w:styleId="Heading6Char">
    <w:name w:val="Heading 6 Char"/>
    <w:basedOn w:val="DefaultParagraphFont"/>
    <w:link w:val="Heading6"/>
    <w:uiPriority w:val="9"/>
    <w:semiHidden/>
    <w:rsid w:val="009406A7"/>
    <w:rPr>
      <w:caps/>
      <w:color w:val="0F4761" w:themeColor="accent1" w:themeShade="BF"/>
      <w:spacing w:val="10"/>
    </w:rPr>
  </w:style>
  <w:style w:type="character" w:customStyle="1" w:styleId="Heading7Char">
    <w:name w:val="Heading 7 Char"/>
    <w:basedOn w:val="DefaultParagraphFont"/>
    <w:link w:val="Heading7"/>
    <w:uiPriority w:val="9"/>
    <w:semiHidden/>
    <w:rsid w:val="009406A7"/>
    <w:rPr>
      <w:caps/>
      <w:color w:val="0F4761" w:themeColor="accent1" w:themeShade="BF"/>
      <w:spacing w:val="10"/>
    </w:rPr>
  </w:style>
  <w:style w:type="character" w:customStyle="1" w:styleId="Heading8Char">
    <w:name w:val="Heading 8 Char"/>
    <w:basedOn w:val="DefaultParagraphFont"/>
    <w:link w:val="Heading8"/>
    <w:uiPriority w:val="9"/>
    <w:semiHidden/>
    <w:rsid w:val="009406A7"/>
    <w:rPr>
      <w:caps/>
      <w:spacing w:val="10"/>
      <w:sz w:val="18"/>
      <w:szCs w:val="18"/>
    </w:rPr>
  </w:style>
  <w:style w:type="character" w:customStyle="1" w:styleId="Heading9Char">
    <w:name w:val="Heading 9 Char"/>
    <w:basedOn w:val="DefaultParagraphFont"/>
    <w:link w:val="Heading9"/>
    <w:uiPriority w:val="9"/>
    <w:semiHidden/>
    <w:rsid w:val="009406A7"/>
    <w:rPr>
      <w:i/>
      <w:iCs/>
      <w:caps/>
      <w:spacing w:val="10"/>
      <w:sz w:val="18"/>
      <w:szCs w:val="18"/>
    </w:rPr>
  </w:style>
  <w:style w:type="paragraph" w:styleId="Caption">
    <w:name w:val="caption"/>
    <w:basedOn w:val="Normal"/>
    <w:next w:val="Normal"/>
    <w:uiPriority w:val="35"/>
    <w:semiHidden/>
    <w:unhideWhenUsed/>
    <w:qFormat/>
    <w:rsid w:val="009406A7"/>
    <w:rPr>
      <w:b/>
      <w:bCs/>
      <w:color w:val="0F4761" w:themeColor="accent1" w:themeShade="BF"/>
    </w:rPr>
  </w:style>
  <w:style w:type="paragraph" w:styleId="Title">
    <w:name w:val="Title"/>
    <w:basedOn w:val="Normal"/>
    <w:next w:val="Normal"/>
    <w:link w:val="TitleChar"/>
    <w:uiPriority w:val="10"/>
    <w:qFormat/>
    <w:rsid w:val="009406A7"/>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9406A7"/>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9406A7"/>
    <w:pPr>
      <w:spacing w:before="0" w:after="500"/>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9406A7"/>
    <w:rPr>
      <w:caps/>
      <w:color w:val="595959" w:themeColor="text1" w:themeTint="A6"/>
      <w:spacing w:val="10"/>
      <w:sz w:val="21"/>
      <w:szCs w:val="21"/>
    </w:rPr>
  </w:style>
  <w:style w:type="character" w:styleId="Strong">
    <w:name w:val="Strong"/>
    <w:uiPriority w:val="22"/>
    <w:qFormat/>
    <w:rsid w:val="009406A7"/>
    <w:rPr>
      <w:b/>
      <w:bCs/>
    </w:rPr>
  </w:style>
  <w:style w:type="character" w:styleId="Emphasis">
    <w:name w:val="Emphasis"/>
    <w:uiPriority w:val="20"/>
    <w:qFormat/>
    <w:rsid w:val="009406A7"/>
    <w:rPr>
      <w:caps/>
      <w:color w:val="0A2F40" w:themeColor="accent1" w:themeShade="7F"/>
      <w:spacing w:val="5"/>
    </w:rPr>
  </w:style>
  <w:style w:type="paragraph" w:styleId="NoSpacing">
    <w:name w:val="No Spacing"/>
    <w:uiPriority w:val="1"/>
    <w:qFormat/>
    <w:rsid w:val="009406A7"/>
    <w:pPr>
      <w:spacing w:after="0" w:line="240" w:lineRule="auto"/>
    </w:pPr>
  </w:style>
  <w:style w:type="paragraph" w:styleId="ListParagraph">
    <w:name w:val="List Paragraph"/>
    <w:basedOn w:val="Normal"/>
    <w:uiPriority w:val="34"/>
    <w:qFormat/>
    <w:rsid w:val="009406A7"/>
    <w:pPr>
      <w:ind w:left="720"/>
      <w:contextualSpacing/>
    </w:pPr>
  </w:style>
  <w:style w:type="paragraph" w:styleId="Quote">
    <w:name w:val="Quote"/>
    <w:basedOn w:val="Normal"/>
    <w:next w:val="Normal"/>
    <w:link w:val="QuoteChar"/>
    <w:uiPriority w:val="29"/>
    <w:qFormat/>
    <w:rsid w:val="009406A7"/>
    <w:rPr>
      <w:i/>
      <w:iCs/>
      <w:sz w:val="24"/>
      <w:szCs w:val="24"/>
    </w:rPr>
  </w:style>
  <w:style w:type="character" w:customStyle="1" w:styleId="QuoteChar">
    <w:name w:val="Quote Char"/>
    <w:basedOn w:val="DefaultParagraphFont"/>
    <w:link w:val="Quote"/>
    <w:uiPriority w:val="29"/>
    <w:rsid w:val="009406A7"/>
    <w:rPr>
      <w:i/>
      <w:iCs/>
      <w:sz w:val="24"/>
      <w:szCs w:val="24"/>
    </w:rPr>
  </w:style>
  <w:style w:type="paragraph" w:styleId="IntenseQuote">
    <w:name w:val="Intense Quote"/>
    <w:basedOn w:val="Normal"/>
    <w:next w:val="Normal"/>
    <w:link w:val="IntenseQuoteChar"/>
    <w:uiPriority w:val="30"/>
    <w:qFormat/>
    <w:rsid w:val="009406A7"/>
    <w:pPr>
      <w:spacing w:before="240" w:after="240"/>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9406A7"/>
    <w:rPr>
      <w:color w:val="156082" w:themeColor="accent1"/>
      <w:sz w:val="24"/>
      <w:szCs w:val="24"/>
    </w:rPr>
  </w:style>
  <w:style w:type="character" w:styleId="SubtleEmphasis">
    <w:name w:val="Subtle Emphasis"/>
    <w:uiPriority w:val="19"/>
    <w:qFormat/>
    <w:rsid w:val="009406A7"/>
    <w:rPr>
      <w:i/>
      <w:iCs/>
      <w:color w:val="0A2F40" w:themeColor="accent1" w:themeShade="7F"/>
    </w:rPr>
  </w:style>
  <w:style w:type="character" w:styleId="IntenseEmphasis">
    <w:name w:val="Intense Emphasis"/>
    <w:uiPriority w:val="21"/>
    <w:qFormat/>
    <w:rsid w:val="009406A7"/>
    <w:rPr>
      <w:b/>
      <w:bCs/>
      <w:caps/>
      <w:color w:val="0A2F40" w:themeColor="accent1" w:themeShade="7F"/>
      <w:spacing w:val="10"/>
    </w:rPr>
  </w:style>
  <w:style w:type="character" w:styleId="SubtleReference">
    <w:name w:val="Subtle Reference"/>
    <w:uiPriority w:val="31"/>
    <w:qFormat/>
    <w:rsid w:val="009406A7"/>
    <w:rPr>
      <w:b/>
      <w:bCs/>
      <w:color w:val="156082" w:themeColor="accent1"/>
    </w:rPr>
  </w:style>
  <w:style w:type="character" w:styleId="IntenseReference">
    <w:name w:val="Intense Reference"/>
    <w:uiPriority w:val="32"/>
    <w:qFormat/>
    <w:rsid w:val="009406A7"/>
    <w:rPr>
      <w:b/>
      <w:bCs/>
      <w:i/>
      <w:iCs/>
      <w:caps/>
      <w:color w:val="156082" w:themeColor="accent1"/>
    </w:rPr>
  </w:style>
  <w:style w:type="character" w:styleId="BookTitle">
    <w:name w:val="Book Title"/>
    <w:uiPriority w:val="33"/>
    <w:qFormat/>
    <w:rsid w:val="009406A7"/>
    <w:rPr>
      <w:b/>
      <w:bCs/>
      <w:i/>
      <w:iCs/>
      <w:spacing w:val="0"/>
    </w:rPr>
  </w:style>
  <w:style w:type="paragraph" w:styleId="TOCHeading">
    <w:name w:val="TOC Heading"/>
    <w:basedOn w:val="Heading1"/>
    <w:next w:val="Normal"/>
    <w:uiPriority w:val="39"/>
    <w:unhideWhenUsed/>
    <w:qFormat/>
    <w:rsid w:val="009406A7"/>
    <w:pPr>
      <w:outlineLvl w:val="9"/>
    </w:pPr>
  </w:style>
  <w:style w:type="character" w:styleId="CommentReference">
    <w:name w:val="annotation reference"/>
    <w:basedOn w:val="DefaultParagraphFont"/>
    <w:uiPriority w:val="99"/>
    <w:semiHidden/>
    <w:rsid w:val="00CE61B0"/>
    <w:rPr>
      <w:sz w:val="16"/>
      <w:szCs w:val="16"/>
    </w:rPr>
  </w:style>
  <w:style w:type="paragraph" w:styleId="CommentText">
    <w:name w:val="annotation text"/>
    <w:basedOn w:val="Normal"/>
    <w:link w:val="CommentTextChar"/>
    <w:uiPriority w:val="99"/>
    <w:semiHidden/>
    <w:rsid w:val="00CE61B0"/>
    <w:pPr>
      <w:spacing w:before="0" w:after="160"/>
    </w:pPr>
    <w:rPr>
      <w:rFonts w:eastAsiaTheme="minorHAnsi"/>
    </w:rPr>
  </w:style>
  <w:style w:type="character" w:customStyle="1" w:styleId="CommentTextChar">
    <w:name w:val="Comment Text Char"/>
    <w:basedOn w:val="DefaultParagraphFont"/>
    <w:link w:val="CommentText"/>
    <w:uiPriority w:val="99"/>
    <w:semiHidden/>
    <w:rsid w:val="00CE61B0"/>
    <w:rPr>
      <w:rFonts w:ascii="Arial" w:hAnsi="Arial" w:cs="Arial"/>
      <w:kern w:val="0"/>
      <w:sz w:val="16"/>
      <w:szCs w:val="16"/>
      <w:lang w:val="en"/>
      <w14:ligatures w14:val="none"/>
    </w:rPr>
  </w:style>
  <w:style w:type="character" w:styleId="Hyperlink">
    <w:name w:val="Hyperlink"/>
    <w:basedOn w:val="DefaultParagraphFont"/>
    <w:uiPriority w:val="99"/>
    <w:unhideWhenUsed/>
    <w:rsid w:val="00826F7A"/>
    <w:rPr>
      <w:color w:val="467886" w:themeColor="hyperlink"/>
      <w:u w:val="single"/>
    </w:rPr>
  </w:style>
  <w:style w:type="character" w:styleId="UnresolvedMention">
    <w:name w:val="Unresolved Mention"/>
    <w:basedOn w:val="DefaultParagraphFont"/>
    <w:uiPriority w:val="99"/>
    <w:semiHidden/>
    <w:unhideWhenUsed/>
    <w:rsid w:val="00826F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sueastbay.edu/ge/geoc-for-faculty.html" TargetMode="External"/><Relationship Id="rId5" Type="http://schemas.openxmlformats.org/officeDocument/2006/relationships/hyperlink" Target="https://www.csueastbay.edu/ge/geoc-for-faculty.html" TargetMode="External"/><Relationship Id="rId4" Type="http://schemas.openxmlformats.org/officeDocument/2006/relationships/webSettings" Target="webSettings.xml"/><Relationship Id="rId20" Type="http://schemas.openxmlformats.org/officeDocument/2006/relationships/hyperlink" Target="https://www.csueastbay.edu/ge/breadth-semester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2</Pages>
  <Words>576</Words>
  <Characters>3376</Characters>
  <Application>Microsoft Office Word</Application>
  <DocSecurity>0</DocSecurity>
  <Lines>259</Lines>
  <Paragraphs>101</Paragraphs>
  <ScaleCrop>false</ScaleCrop>
  <Company/>
  <LinksUpToDate>false</LinksUpToDate>
  <CharactersWithSpaces>3851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Kaatz</dc:creator>
  <cp:keywords/>
  <dc:description/>
  <cp:lastModifiedBy>Kevin Kaatz</cp:lastModifiedBy>
  <cp:revision>59</cp:revision>
  <dcterms:created xsi:type="dcterms:W3CDTF">2026-06-18T16:39:00Z</dcterms:created>
  <dcterms:modified xsi:type="dcterms:W3CDTF">2026-07-15T18:09:00Z</dcterms:modified>
</cp:coreProperties>
</file>