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Montserrat" w:cs="Montserrat" w:eastAsia="Montserrat" w:hAnsi="Montserrat"/>
          <w:color w:val="D50032"/>
          <w:sz w:val="18"/>
          <w:szCs w:val="18"/>
        </w:rPr>
        <w:t xml:space="preserve">House style specimen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Montserrat" w:cs="Montserrat" w:eastAsia="Montserrat" w:hAnsi="Montserrat"/>
                <w:color w:val="55575B"/>
                <w:sz w:val="17"/>
                <w:szCs w:val="17"/>
              </w:rPr>
              <w:t xml:space="preserve">Committee</w:t>
            </w:r>
          </w:p>
          <w:p>
            <w:r>
              <w:rPr>
                <w:rFonts w:ascii="Montserrat" w:cs="Montserrat" w:eastAsia="Montserrat" w:hAnsi="Montserrat"/>
                <w:color w:val="000000"/>
                <w:sz w:val="20"/>
                <w:szCs w:val="20"/>
              </w:rPr>
              <w:t xml:space="preserve">CLASS Curriculum Committee</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Montserrat" w:cs="Montserrat" w:eastAsia="Montserrat" w:hAnsi="Montserrat"/>
                <w:color w:val="55575B"/>
                <w:sz w:val="17"/>
                <w:szCs w:val="17"/>
              </w:rPr>
              <w:t xml:space="preserve">Document</w:t>
            </w:r>
          </w:p>
          <w:p>
            <w:r>
              <w:rPr>
                <w:rFonts w:ascii="Montserrat" w:cs="Montserrat" w:eastAsia="Montserrat" w:hAnsi="Montserrat"/>
                <w:color w:val="000000"/>
                <w:sz w:val="20"/>
                <w:szCs w:val="20"/>
              </w:rPr>
              <w:t xml:space="preserve">Program modification</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Montserrat" w:cs="Montserrat" w:eastAsia="Montserrat" w:hAnsi="Montserrat"/>
                <w:color w:val="55575B"/>
                <w:sz w:val="17"/>
                <w:szCs w:val="17"/>
              </w:rPr>
              <w:t xml:space="preserve">Effective</w:t>
            </w:r>
          </w:p>
          <w:p>
            <w:r>
              <w:rPr>
                <w:rFonts w:ascii="Montserrat" w:cs="Montserrat" w:eastAsia="Montserrat" w:hAnsi="Montserrat"/>
                <w:color w:val="000000"/>
                <w:sz w:val="20"/>
                <w:szCs w:val="20"/>
              </w:rPr>
              <w:t xml:space="preserve">Fall 2027</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Montserrat" w:cs="Montserrat" w:eastAsia="Montserrat" w:hAnsi="Montserrat"/>
                <w:color w:val="55575B"/>
                <w:sz w:val="17"/>
                <w:szCs w:val="17"/>
              </w:rPr>
              <w:t xml:space="preserve">Status</w:t>
            </w:r>
          </w:p>
          <w:p>
            <w:r>
              <w:rPr>
                <w:rFonts w:ascii="Montserrat" w:cs="Montserrat" w:eastAsia="Montserrat" w:hAnsi="Montserrat"/>
                <w:color w:val="000000"/>
                <w:sz w:val="20"/>
                <w:szCs w:val="20"/>
              </w:rPr>
              <w:t xml:space="preserve">Draft for review</w:t>
            </w:r>
          </w:p>
        </w:tc>
      </w:tr>
    </w:tbl>
    <w:p>
      <w:pPr>
        <w:pBdr>
          <w:bottom w:val="single" w:color="D50032" w:sz="12" w:space="4"/>
        </w:pBdr>
        <w:spacing w:after="280" w:before="120"/>
      </w:pPr>
    </w:p>
    <w:p>
      <w:pPr>
        <w:spacing w:after="90"/>
      </w:pPr>
      <w:r>
        <w:rPr>
          <w:rFonts w:ascii="Montserrat" w:cs="Montserrat" w:eastAsia="Montserrat" w:hAnsi="Montserrat"/>
          <w:b/>
          <w:bCs/>
          <w:color w:val="000000"/>
          <w:sz w:val="40"/>
          <w:szCs w:val="40"/>
        </w:rPr>
        <w:t xml:space="preserve">Program modification: graduate sequence in music</w:t>
      </w:r>
    </w:p>
    <w:p>
      <w:pPr>
        <w:spacing w:after="320"/>
      </w:pPr>
      <w:r>
        <w:rPr>
          <w:rFonts w:ascii="Montserrat" w:cs="Montserrat" w:eastAsia="Montserrat" w:hAnsi="Montserrat"/>
          <w:color w:val="55575B"/>
          <w:sz w:val="20"/>
          <w:szCs w:val="20"/>
        </w:rPr>
        <w:t xml:space="preserve">Prepared by I. Thiebaut · Spring 2026 · routing ID </w:t>
      </w:r>
      <w:r>
        <w:rPr>
          <w:rFonts w:ascii="Montserrat" w:cs="Montserrat" w:eastAsia="Montserrat" w:hAnsi="Montserrat"/>
          <w:color w:val="000000"/>
          <w:sz w:val="20"/>
          <w:szCs w:val="20"/>
        </w:rPr>
        <w:t xml:space="preserve">CM-2026-014</w:t>
      </w:r>
    </w:p>
    <w:p>
      <w:pPr>
        <w:spacing w:after="130" w:before="260"/>
      </w:pPr>
      <w:r>
        <w:rPr>
          <w:rFonts w:ascii="Montserrat" w:cs="Montserrat" w:eastAsia="Montserrat" w:hAnsi="Montserrat"/>
          <w:b/>
          <w:bCs/>
          <w:color w:val="D50032"/>
          <w:sz w:val="26"/>
          <w:szCs w:val="26"/>
        </w:rPr>
        <w:t xml:space="preserve">01  </w:t>
      </w:r>
      <w:r>
        <w:rPr>
          <w:rFonts w:ascii="Montserrat" w:cs="Montserrat" w:eastAsia="Montserrat" w:hAnsi="Montserrat"/>
          <w:b/>
          <w:bCs/>
          <w:color w:val="000000"/>
          <w:sz w:val="26"/>
          <w:szCs w:val="26"/>
        </w:rPr>
        <w:t xml:space="preserve">Rationale</w:t>
      </w:r>
    </w:p>
    <w:p>
      <w:pPr>
        <w:spacing w:after="160" w:line="330"/>
      </w:pPr>
      <w:r>
        <w:rPr>
          <w:rFonts w:ascii="Roboto Serif" w:cs="Roboto Serif" w:eastAsia="Roboto Serif" w:hAnsi="Roboto Serif"/>
          <w:color w:val="000000"/>
          <w:sz w:val="22"/>
          <w:szCs w:val="22"/>
        </w:rPr>
        <w:t xml:space="preserve">This proposal consolidates two overlapping electives into a single course, revises the unit distribution across the graduate sequence, and aligns prerequisite language with the current catalog. The change reduces total required units by three while preserving every program learning outcome.</w:t>
      </w:r>
    </w:p>
    <w:p>
      <w:pPr>
        <w:spacing w:after="160" w:line="330"/>
      </w:pPr>
      <w:r>
        <w:rPr>
          <w:rFonts w:ascii="Roboto Serif" w:cs="Roboto Serif" w:eastAsia="Roboto Serif" w:hAnsi="Roboto Serif"/>
          <w:color w:val="000000"/>
          <w:sz w:val="22"/>
          <w:szCs w:val="22"/>
        </w:rPr>
        <w:t xml:space="preserve">The revised sequence also clarifies the standing of one </w:t>
      </w:r>
      <w:r>
        <w:rPr>
          <w:rFonts w:ascii="Roboto Serif" w:cs="Roboto Serif" w:eastAsia="Roboto Serif" w:hAnsi="Roboto Serif"/>
          <w:color w:val="000000"/>
          <w:sz w:val="22"/>
          <w:szCs w:val="22"/>
          <w:u w:val="single" w:color="D50032"/>
        </w:rPr>
        <w:t xml:space="preserve">dual-listed</w:t>
      </w:r>
      <w:r>
        <w:rPr>
          <w:rFonts w:ascii="Montserrat" w:cs="Montserrat" w:eastAsia="Montserrat" w:hAnsi="Montserrat"/>
          <w:color w:val="55575B"/>
          <w:sz w:val="19"/>
          <w:szCs w:val="19"/>
        </w:rPr>
        <w:t xml:space="preserve"> (offered at two catalog levels)</w:t>
      </w:r>
      <w:r>
        <w:rPr>
          <w:rFonts w:ascii="Roboto Serif" w:cs="Roboto Serif" w:eastAsia="Roboto Serif" w:hAnsi="Roboto Serif"/>
          <w:color w:val="000000"/>
          <w:sz w:val="22"/>
          <w:szCs w:val="22"/>
        </w:rPr>
        <w:t xml:space="preserve"> course, so that graduate and undergraduate enrollments are assessed against separate criteria. No new resources are required, and the affected courses already run on the existing rotation.</w:t>
      </w:r>
    </w:p>
    <w:p>
      <w:pPr>
        <w:spacing w:after="130" w:before="260"/>
      </w:pPr>
      <w:r>
        <w:rPr>
          <w:rFonts w:ascii="Montserrat" w:cs="Montserrat" w:eastAsia="Montserrat" w:hAnsi="Montserrat"/>
          <w:b/>
          <w:bCs/>
          <w:color w:val="D50032"/>
          <w:sz w:val="26"/>
          <w:szCs w:val="26"/>
        </w:rPr>
        <w:t xml:space="preserve">02  </w:t>
      </w:r>
      <w:r>
        <w:rPr>
          <w:rFonts w:ascii="Montserrat" w:cs="Montserrat" w:eastAsia="Montserrat" w:hAnsi="Montserrat"/>
          <w:b/>
          <w:bCs/>
          <w:color w:val="000000"/>
          <w:sz w:val="26"/>
          <w:szCs w:val="26"/>
        </w:rPr>
        <w:t xml:space="preserve">Proposed changes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4960"/>
        <w:gridCol w:w="2200"/>
      </w:tblGrid>
      <w:tr>
        <w:tc>
          <w:tcPr>
            <w:tcW w:type="auto" w:w="100"/>
            <w:tcBorders>
              <w:top w:val="none" w:color="FFFFFF" w:sz="0"/>
              <w:left w:val="none" w:color="FFFFFF" w:sz="0"/>
              <w:bottom w:val="single" w:color="D50032" w:sz="12"/>
              <w:right w:val="none" w:color="FFFFFF" w:sz="0"/>
            </w:tcBorders>
            <w:tcMar>
              <w:top w:type="dxa" w:w="40"/>
              <w:left w:type="dxa" w:w="0"/>
              <w:bottom w:type="dxa" w:w="100"/>
              <w:right w:type="dxa" w:w="120"/>
            </w:tcMar>
          </w:tcPr>
          <w:p>
            <w:pPr>
              <w:jc w:val="left"/>
            </w:pPr>
            <w:r>
              <w:rPr>
                <w:rFonts w:ascii="Montserrat" w:cs="Montserrat" w:eastAsia="Montserrat" w:hAnsi="Montserrat"/>
                <w:color w:val="55575B"/>
                <w:sz w:val="18"/>
                <w:szCs w:val="18"/>
              </w:rPr>
              <w:t xml:space="preserve">Course</w:t>
            </w:r>
          </w:p>
        </w:tc>
        <w:tc>
          <w:tcPr>
            <w:tcW w:type="auto" w:w="100"/>
            <w:tcBorders>
              <w:top w:val="none" w:color="FFFFFF" w:sz="0"/>
              <w:left w:val="none" w:color="FFFFFF" w:sz="0"/>
              <w:bottom w:val="single" w:color="D50032" w:sz="12"/>
              <w:right w:val="none" w:color="FFFFFF" w:sz="0"/>
            </w:tcBorders>
            <w:tcMar>
              <w:top w:type="dxa" w:w="40"/>
              <w:left w:type="dxa" w:w="0"/>
              <w:bottom w:type="dxa" w:w="100"/>
              <w:right w:type="dxa" w:w="120"/>
            </w:tcMar>
          </w:tcPr>
          <w:p>
            <w:pPr>
              <w:jc w:val="left"/>
            </w:pPr>
            <w:r>
              <w:rPr>
                <w:rFonts w:ascii="Montserrat" w:cs="Montserrat" w:eastAsia="Montserrat" w:hAnsi="Montserrat"/>
                <w:color w:val="55575B"/>
                <w:sz w:val="18"/>
                <w:szCs w:val="18"/>
              </w:rPr>
              <w:t xml:space="preserve">Action</w:t>
            </w:r>
          </w:p>
        </w:tc>
        <w:tc>
          <w:tcPr>
            <w:tcW w:type="auto" w:w="100"/>
            <w:tcBorders>
              <w:top w:val="none" w:color="FFFFFF" w:sz="0"/>
              <w:left w:val="none" w:color="FFFFFF" w:sz="0"/>
              <w:bottom w:val="single" w:color="D50032" w:sz="12"/>
              <w:right w:val="none" w:color="FFFFFF" w:sz="0"/>
            </w:tcBorders>
            <w:tcMar>
              <w:top w:type="dxa" w:w="40"/>
              <w:left w:type="dxa" w:w="0"/>
              <w:bottom w:type="dxa" w:w="100"/>
              <w:right w:type="dxa" w:w="120"/>
            </w:tcMar>
          </w:tcPr>
          <w:p>
            <w:pPr>
              <w:jc w:val="right"/>
            </w:pPr>
            <w:r>
              <w:rPr>
                <w:rFonts w:ascii="Montserrat" w:cs="Montserrat" w:eastAsia="Montserrat" w:hAnsi="Montserrat"/>
                <w:color w:val="55575B"/>
                <w:sz w:val="18"/>
                <w:szCs w:val="18"/>
              </w:rPr>
              <w:t xml:space="preserve">Units</w:t>
            </w:r>
          </w:p>
        </w:tc>
      </w:tr>
      <w:tr>
        <w:tc>
          <w:tcPr>
            <w:tcW w:type="dxa" w:w="22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Montserrat" w:cs="Montserrat" w:eastAsia="Montserrat" w:hAnsi="Montserrat"/>
                <w:color w:val="000000"/>
                <w:sz w:val="20"/>
                <w:szCs w:val="20"/>
              </w:rPr>
              <w:t xml:space="preserve">MUS 6XX</w:t>
            </w:r>
          </w:p>
        </w:tc>
        <w:tc>
          <w:tcPr>
            <w:tcW w:type="dxa" w:w="496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Roboto Serif" w:cs="Roboto Serif" w:eastAsia="Roboto Serif" w:hAnsi="Roboto Serif"/>
                <w:color w:val="000000"/>
                <w:sz w:val="22"/>
                <w:szCs w:val="22"/>
              </w:rPr>
              <w:t xml:space="preserve">Revise prerequisites</w:t>
            </w:r>
          </w:p>
        </w:tc>
        <w:tc>
          <w:tcPr>
            <w:tcW w:type="dxa" w:w="22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right"/>
            </w:pPr>
            <w:r>
              <w:rPr>
                <w:rFonts w:ascii="Montserrat" w:cs="Montserrat" w:eastAsia="Montserrat" w:hAnsi="Montserrat"/>
                <w:color w:val="000000"/>
                <w:sz w:val="20"/>
                <w:szCs w:val="20"/>
              </w:rPr>
              <w:t xml:space="preserve">3</w:t>
            </w:r>
          </w:p>
        </w:tc>
      </w:tr>
      <w:tr>
        <w:tc>
          <w:tcPr>
            <w:tcW w:type="dxa" w:w="22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Montserrat" w:cs="Montserrat" w:eastAsia="Montserrat" w:hAnsi="Montserrat"/>
                <w:color w:val="000000"/>
                <w:sz w:val="20"/>
                <w:szCs w:val="20"/>
              </w:rPr>
              <w:t xml:space="preserve">MUS 6XX</w:t>
            </w:r>
          </w:p>
        </w:tc>
        <w:tc>
          <w:tcPr>
            <w:tcW w:type="dxa" w:w="496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Roboto Serif" w:cs="Roboto Serif" w:eastAsia="Roboto Serif" w:hAnsi="Roboto Serif"/>
                <w:color w:val="000000"/>
                <w:sz w:val="22"/>
                <w:szCs w:val="22"/>
              </w:rPr>
              <w:t xml:space="preserve">Increase units</w:t>
            </w:r>
          </w:p>
        </w:tc>
        <w:tc>
          <w:tcPr>
            <w:tcW w:type="dxa" w:w="22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right"/>
            </w:pPr>
            <w:r>
              <w:rPr>
                <w:rFonts w:ascii="Montserrat" w:cs="Montserrat" w:eastAsia="Montserrat" w:hAnsi="Montserrat"/>
                <w:color w:val="000000"/>
                <w:sz w:val="20"/>
                <w:szCs w:val="20"/>
              </w:rPr>
              <w:t xml:space="preserve">3 → 4</w:t>
            </w:r>
          </w:p>
        </w:tc>
      </w:tr>
      <w:tr>
        <w:tc>
          <w:tcPr>
            <w:tcW w:type="dxa" w:w="22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Montserrat" w:cs="Montserrat" w:eastAsia="Montserrat" w:hAnsi="Montserrat"/>
                <w:color w:val="000000"/>
                <w:sz w:val="20"/>
                <w:szCs w:val="20"/>
              </w:rPr>
              <w:t xml:space="preserve">MUS 6XX</w:t>
            </w:r>
          </w:p>
        </w:tc>
        <w:tc>
          <w:tcPr>
            <w:tcW w:type="dxa" w:w="496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Roboto Serif" w:cs="Roboto Serif" w:eastAsia="Roboto Serif" w:hAnsi="Roboto Serif"/>
                <w:color w:val="000000"/>
                <w:sz w:val="22"/>
                <w:szCs w:val="22"/>
              </w:rPr>
              <w:t xml:space="preserve">Retitle and recatalog</w:t>
            </w:r>
          </w:p>
        </w:tc>
        <w:tc>
          <w:tcPr>
            <w:tcW w:type="dxa" w:w="22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right"/>
            </w:pPr>
            <w:r>
              <w:rPr>
                <w:rFonts w:ascii="Montserrat" w:cs="Montserrat" w:eastAsia="Montserrat" w:hAnsi="Montserrat"/>
                <w:color w:val="000000"/>
                <w:sz w:val="20"/>
                <w:szCs w:val="20"/>
              </w:rPr>
              <w:t xml:space="preserve">3</w:t>
            </w:r>
          </w:p>
        </w:tc>
      </w:tr>
      <w:tr>
        <w:tc>
          <w:tcPr>
            <w:tcW w:type="dxa" w:w="2200"/>
            <w:tcBorders>
              <w:top w:val="none" w:color="FFFFFF" w:sz="0"/>
              <w:left w:val="none" w:color="FFFFFF" w:sz="0"/>
              <w:bottom w:val="none" w:color="FFFFFF" w:sz="0"/>
              <w:right w:val="none" w:color="FFFFFF" w:sz="0"/>
            </w:tcBorders>
            <w:tcMar>
              <w:top w:type="dxa" w:w="110"/>
              <w:left w:type="dxa" w:w="0"/>
              <w:bottom w:type="dxa" w:w="110"/>
              <w:right w:type="dxa" w:w="120"/>
            </w:tcMar>
          </w:tcPr>
          <w:p>
            <w:pPr>
              <w:jc w:val="left"/>
            </w:pPr>
            <w:r>
              <w:rPr>
                <w:rFonts w:ascii="Montserrat" w:cs="Montserrat" w:eastAsia="Montserrat" w:hAnsi="Montserrat"/>
                <w:color w:val="000000"/>
                <w:sz w:val="20"/>
                <w:szCs w:val="20"/>
              </w:rPr>
              <w:t xml:space="preserve">MUS 6XX</w:t>
            </w:r>
          </w:p>
        </w:tc>
        <w:tc>
          <w:tcPr>
            <w:tcW w:type="dxa" w:w="4960"/>
            <w:tcBorders>
              <w:top w:val="none" w:color="FFFFFF" w:sz="0"/>
              <w:left w:val="none" w:color="FFFFFF" w:sz="0"/>
              <w:bottom w:val="none" w:color="FFFFFF" w:sz="0"/>
              <w:right w:val="none" w:color="FFFFFF" w:sz="0"/>
            </w:tcBorders>
            <w:tcMar>
              <w:top w:type="dxa" w:w="110"/>
              <w:left w:type="dxa" w:w="0"/>
              <w:bottom w:type="dxa" w:w="110"/>
              <w:right w:type="dxa" w:w="120"/>
            </w:tcMar>
          </w:tcPr>
          <w:p>
            <w:pPr>
              <w:jc w:val="left"/>
            </w:pPr>
            <w:r>
              <w:rPr>
                <w:rFonts w:ascii="Roboto Serif" w:cs="Roboto Serif" w:eastAsia="Roboto Serif" w:hAnsi="Roboto Serif"/>
                <w:color w:val="000000"/>
                <w:sz w:val="22"/>
                <w:szCs w:val="22"/>
              </w:rPr>
              <w:t xml:space="preserve">Inactivate (merged)</w:t>
            </w:r>
          </w:p>
        </w:tc>
        <w:tc>
          <w:tcPr>
            <w:tcW w:type="dxa" w:w="2200"/>
            <w:tcBorders>
              <w:top w:val="none" w:color="FFFFFF" w:sz="0"/>
              <w:left w:val="none" w:color="FFFFFF" w:sz="0"/>
              <w:bottom w:val="none" w:color="FFFFFF" w:sz="0"/>
              <w:right w:val="none" w:color="FFFFFF" w:sz="0"/>
            </w:tcBorders>
            <w:tcMar>
              <w:top w:type="dxa" w:w="110"/>
              <w:left w:type="dxa" w:w="0"/>
              <w:bottom w:type="dxa" w:w="110"/>
              <w:right w:type="dxa" w:w="120"/>
            </w:tcMar>
          </w:tcPr>
          <w:p>
            <w:pPr>
              <w:jc w:val="right"/>
            </w:pPr>
            <w:r>
              <w:rPr>
                <w:rFonts w:ascii="Montserrat" w:cs="Montserrat" w:eastAsia="Montserrat" w:hAnsi="Montserrat"/>
                <w:color w:val="000000"/>
                <w:sz w:val="20"/>
                <w:szCs w:val="20"/>
              </w:rPr>
              <w:t xml:space="preserve">4 → 0</w:t>
            </w:r>
          </w:p>
        </w:tc>
      </w:tr>
    </w:tbl>
    <w:p>
      <w:pPr>
        <w:spacing w:after="3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D50032" w:sz="24"/>
              <w:bottom w:val="none" w:color="FFFFFF" w:sz="0"/>
              <w:right w:val="none" w:color="FFFFFF" w:sz="0"/>
            </w:tcBorders>
            <w:shd w:fill="FCE6EA" w:color="auto" w:val="clear"/>
            <w:tcMar>
              <w:top w:type="dxa" w:w="140"/>
              <w:left w:type="dxa" w:w="180"/>
              <w:bottom w:type="dxa" w:w="140"/>
              <w:right w:type="dxa" w:w="180"/>
            </w:tcMar>
          </w:tcPr>
          <w:p>
            <w:pPr>
              <w:spacing w:after="70"/>
            </w:pPr>
            <w:r>
              <w:rPr>
                <w:rFonts w:ascii="Montserrat" w:cs="Montserrat" w:eastAsia="Montserrat" w:hAnsi="Montserrat"/>
                <w:color w:val="D50032"/>
                <w:sz w:val="17"/>
                <w:szCs w:val="17"/>
              </w:rPr>
              <w:t xml:space="preserve">Reviewer note</w:t>
            </w:r>
          </w:p>
          <w:p>
            <w:pPr>
              <w:spacing w:line="300"/>
            </w:pPr>
            <w:r>
              <w:rPr>
                <w:rFonts w:ascii="Roboto Serif" w:cs="Roboto Serif" w:eastAsia="Roboto Serif" w:hAnsi="Roboto Serif"/>
                <w:color w:val="000000"/>
                <w:sz w:val="22"/>
                <w:szCs w:val="22"/>
              </w:rPr>
              <w:t xml:space="preserve">Dual-listed courses require a separate workload justification under the college policy on cross-level instruction. Attach before the consent agenda.</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4E6" w:sz="4" w:space="8"/>
      </w:pBdr>
      <w:tabs>
        <w:tab w:val="right" w:pos="9360"/>
      </w:tabs>
    </w:pPr>
    <w:r>
      <w:rPr>
        <w:rFonts w:ascii="Montserrat" w:cs="Montserrat" w:eastAsia="Montserrat" w:hAnsi="Montserrat"/>
        <w:color w:val="55575B"/>
        <w:sz w:val="18"/>
        <w:szCs w:val="18"/>
      </w:rPr>
      <w:t xml:space="preserve">CM-2026-014 · CLASS Curriculum Committee</w:t>
    </w:r>
    <w:r>
      <w:tab/>
    </w:r>
    <w:r>
      <w:rPr>
        <w:rFonts w:ascii="Montserrat" w:cs="Montserrat" w:eastAsia="Montserrat" w:hAnsi="Montserrat"/>
        <w:color w:val="55575B"/>
        <w:sz w:val="18"/>
        <w:szCs w:val="18"/>
      </w:rPr>
      <w:t xml:space="preserve">Page </w:t>
    </w:r>
    <w:r>
      <w:rPr>
        <w:rFonts w:ascii="Montserrat" w:cs="Montserrat" w:eastAsia="Montserrat" w:hAnsi="Montserrat"/>
        <w:color w:val="55575B"/>
        <w:sz w:val="18"/>
        <w:szCs w:val="18"/>
      </w:rPr>
      <w:fldChar w:fldCharType="begin"/>
      <w:instrText xml:space="preserve">PAGE</w:instrText>
      <w:fldChar w:fldCharType="separate"/>
      <w:fldChar w:fldCharType="end"/>
    </w:r>
    <w:r>
      <w:rPr>
        <w:rFonts w:ascii="Montserrat" w:cs="Montserrat" w:eastAsia="Montserrat" w:hAnsi="Montserrat"/>
        <w:color w:val="55575B"/>
        <w:sz w:val="18"/>
        <w:szCs w:val="18"/>
      </w:rPr>
      <w:t xml:space="preserve"> of </w:t>
    </w:r>
    <w:r>
      <w:rPr>
        <w:rFonts w:ascii="Montserrat" w:cs="Montserrat" w:eastAsia="Montserrat" w:hAnsi="Montserrat"/>
        <w:color w:val="55575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Serif" w:cs="Roboto Serif" w:eastAsia="Roboto Serif" w:hAnsi="Roboto Serif"/>
        <w:color w:val="000000"/>
        <w:sz w:val="22"/>
        <w:szCs w:val="22"/>
      </w:rPr>
    </w:rPrDefault>
    <w:pPrDefault/>
  </w:docDefaults>
  <w:style w:type="paragraph" w:styleId="Title">
    <w:name w:val="Title"/>
    <w:basedOn w:val="Normal"/>
    <w:next w:val="Normal"/>
    <w:qFormat/>
    <w:rPr>
      <w:rFonts w:ascii="Montserrat" w:cs="Montserrat" w:eastAsia="Montserrat" w:hAnsi="Montserrat"/>
      <w:b/>
      <w:bCs/>
      <w:color w:val="000000"/>
      <w:sz w:val="56"/>
      <w:szCs w:val="56"/>
    </w:rPr>
  </w:style>
  <w:style w:type="paragraph" w:styleId="Heading1">
    <w:name w:val="Heading 1"/>
    <w:basedOn w:val="Normal"/>
    <w:next w:val="Normal"/>
    <w:qFormat/>
    <w:rPr>
      <w:rFonts w:ascii="Montserrat" w:cs="Montserrat" w:eastAsia="Montserrat" w:hAnsi="Montserrat"/>
      <w:b/>
      <w:bCs/>
      <w:color w:val="000000"/>
      <w:sz w:val="32"/>
      <w:szCs w:val="32"/>
    </w:rPr>
  </w:style>
  <w:style w:type="paragraph" w:styleId="Heading2">
    <w:name w:val="Heading 2"/>
    <w:basedOn w:val="Normal"/>
    <w:next w:val="Normal"/>
    <w:qFormat/>
    <w:rPr>
      <w:rFonts w:ascii="Montserrat" w:cs="Montserrat" w:eastAsia="Montserrat" w:hAnsi="Montserrat"/>
      <w:b/>
      <w:bCs/>
      <w:color w:val="000000"/>
      <w:sz w:val="26"/>
      <w:szCs w:val="26"/>
    </w:rPr>
  </w:style>
  <w:style w:type="paragraph" w:styleId="Heading3">
    <w:name w:val="Heading 3"/>
    <w:basedOn w:val="Normal"/>
    <w:next w:val="Normal"/>
    <w:qFormat/>
    <w:rPr>
      <w:rFonts w:ascii="Montserrat" w:cs="Montserrat" w:eastAsia="Montserrat" w:hAnsi="Montserrat"/>
      <w:b/>
      <w:bCs/>
      <w:color w:val="000000"/>
      <w:sz w:val="24"/>
      <w:szCs w:val="24"/>
    </w:rPr>
  </w:style>
  <w:style w:type="paragraph" w:styleId="Heading4">
    <w:name w:val="Heading 4"/>
    <w:basedOn w:val="Normal"/>
    <w:next w:val="Normal"/>
    <w:qFormat/>
    <w:rPr>
      <w:rFonts w:ascii="Montserrat" w:cs="Montserrat" w:eastAsia="Montserrat" w:hAnsi="Montserrat"/>
      <w:b/>
      <w:bCs/>
      <w:color w:val="000000"/>
    </w:rPr>
  </w:style>
  <w:style w:type="paragraph" w:styleId="Heading5">
    <w:name w:val="Heading 5"/>
    <w:basedOn w:val="Normal"/>
    <w:next w:val="Normal"/>
    <w:qFormat/>
    <w:rPr>
      <w:rFonts w:ascii="Montserrat" w:cs="Montserrat" w:eastAsia="Montserrat" w:hAnsi="Montserrat"/>
      <w:b/>
      <w:bCs/>
      <w:color w:val="000000"/>
    </w:rPr>
  </w:style>
  <w:style w:type="paragraph" w:styleId="Heading6">
    <w:name w:val="Heading 6"/>
    <w:basedOn w:val="Normal"/>
    <w:next w:val="Normal"/>
    <w:qFormat/>
    <w:rPr>
      <w:rFonts w:ascii="Montserrat" w:cs="Montserrat" w:eastAsia="Montserrat" w:hAnsi="Montserrat"/>
      <w:b/>
      <w:bCs/>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D50032"/>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2026-06-18T10:46:27.060Z</dcterms:created>
  <dcterms:modified xsi:type="dcterms:W3CDTF">2026-06-18T10:46:27.060Z</dcterms:modified>
</cp:coreProperties>
</file>

<file path=docProps/custom.xml><?xml version="1.0" encoding="utf-8"?>
<Properties xmlns="http://schemas.openxmlformats.org/officeDocument/2006/custom-properties" xmlns:vt="http://schemas.openxmlformats.org/officeDocument/2006/docPropsVTypes"/>
</file>