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or areas this proposal is for:</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Current list of GE areas can be found in the </w:t>
      </w:r>
      <w:hyperlink r:id="rId5" w:history="1">
        <w:r>
          <w:rPr>
            <w:rStyle w:val="Hyperlink"/>
            <w:i/>
            <w:iCs/>
          </w:rPr>
          <w:t>GE Framework document</w:t>
        </w:r>
      </w:hyperlink>
      <w:r>
        <w:rPr>
          <w:i/>
          <w:iCs/>
        </w:rPr>
        <w:t xml:space="preserve">.</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p>
            <w:pPr>
              <w:keepNext/>
            </w:pPr>
            <w:r>
              <w:rPr>
                <w:i/>
                <w:iCs/>
                <w:sz w:val="14"/>
                <w:szCs w:val="14"/>
              </w:rPr>
              <w:t xml:space="preserve">An Area 6 course meets three of the five Area 6 learning outcomes, and the three it meets are published on the course syllabus.</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GE Framework.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0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42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