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30" w:lineRule="auto"/>
      </w:pPr>
      <w:r>
        <w:rPr>
          <w:rFonts w:ascii="Montserrat" w:cs="Montserrat" w:eastAsia="Montserrat" w:hAnsi="Montserrat"/>
          <w:b/>
          <w:bCs/>
          <w:color w:val="000000"/>
          <w:sz w:val="26"/>
          <w:szCs w:val="26"/>
        </w:rPr>
        <w:t xml:space="preserve">CLASS Curriculum Committee</w:t>
      </w:r>
    </w:p>
    <w:p>
      <w:pPr>
        <w:pBdr>
          <w:bottom w:val="single" w:color="D50032" w:sz="12" w:space="8"/>
        </w:pBdr>
        <w:spacing w:after="0" w:before="0" w:line="330" w:lineRule="auto"/>
      </w:pPr>
      <w:r>
        <w:rPr>
          <w:rFonts w:ascii="Montserrat" w:cs="Montserrat" w:eastAsia="Montserrat" w:hAnsi="Montserrat"/>
          <w:color w:val="55575B"/>
          <w:sz w:val="18"/>
          <w:szCs w:val="18"/>
        </w:rPr>
        <w:t xml:space="preserve">College of Letters, Arts, and Social Sciences · California State University, East Bay</w:t>
      </w:r>
    </w:p>
    <w:p>
      <w:pPr>
        <w:spacing w:after="360" w:before="360" w:line="330" w:lineRule="auto"/>
      </w:pPr>
      <w:r>
        <w:rPr>
          <w:rFonts w:ascii="Montserrat" w:cs="Montserrat" w:eastAsia="Montserrat" w:hAnsi="Montserrat"/>
          <w:color w:val="55575B"/>
          <w:sz w:val="18"/>
          <w:szCs w:val="18"/>
        </w:rPr>
        <w:t xml:space="preserve">October 2026 · draft for committee review</w:t>
      </w:r>
    </w:p>
    <w:p>
      <w:pPr>
        <w:spacing w:after="0" w:before="0" w:line="330" w:lineRule="auto"/>
      </w:pPr>
      <w:r>
        <w:rPr>
          <w:rFonts w:ascii="Roboto Serif" w:cs="Roboto Serif" w:eastAsia="Roboto Serif" w:hAnsi="Roboto Serif"/>
          <w:color w:val="000000"/>
          <w:sz w:val="21"/>
          <w:szCs w:val="21"/>
        </w:rPr>
        <w:t xml:space="preserve">Jennifer Zenovich</w:t>
      </w:r>
    </w:p>
    <w:p>
      <w:pPr>
        <w:spacing w:after="0" w:before="0" w:line="330" w:lineRule="auto"/>
      </w:pPr>
      <w:r>
        <w:rPr>
          <w:rFonts w:ascii="Roboto Serif" w:cs="Roboto Serif" w:eastAsia="Roboto Serif" w:hAnsi="Roboto Serif"/>
          <w:color w:val="000000"/>
          <w:sz w:val="21"/>
          <w:szCs w:val="21"/>
        </w:rPr>
        <w:t xml:space="preserve">Director of General Education and Chair, GEOC Subcommittee</w:t>
      </w:r>
    </w:p>
    <w:p>
      <w:pPr>
        <w:spacing w:after="360" w:before="0" w:line="330" w:lineRule="auto"/>
      </w:pPr>
      <w:r>
        <w:rPr>
          <w:rFonts w:ascii="Roboto Serif" w:cs="Roboto Serif" w:eastAsia="Roboto Serif" w:hAnsi="Roboto Serif"/>
          <w:color w:val="000000"/>
          <w:sz w:val="21"/>
          <w:szCs w:val="21"/>
        </w:rPr>
        <w:t xml:space="preserve">California State University, East Bay</w:t>
      </w:r>
    </w:p>
    <w:p>
      <w:pPr>
        <w:spacing w:after="140" w:before="0" w:line="312" w:lineRule="auto"/>
      </w:pPr>
      <w:r>
        <w:rPr>
          <w:rFonts w:ascii="Roboto Serif" w:cs="Roboto Serif" w:eastAsia="Roboto Serif" w:hAnsi="Roboto Serif"/>
          <w:color w:val="000000"/>
          <w:sz w:val="21"/>
          <w:szCs w:val="21"/>
        </w:rPr>
        <w:t xml:space="preserve">Dear Jennifer and members of the GEOC Subcommittee,</w:t>
      </w:r>
    </w:p>
    <w:p>
      <w:pPr>
        <w:spacing w:after="140" w:before="0" w:line="312" w:lineRule="auto"/>
      </w:pPr>
      <w:r>
        <w:rPr>
          <w:rFonts w:ascii="Roboto Serif" w:cs="Roboto Serif" w:eastAsia="Roboto Serif" w:hAnsi="Roboto Serif"/>
          <w:color w:val="000000"/>
          <w:sz w:val="21"/>
          <w:szCs w:val="21"/>
        </w:rPr>
        <w:t xml:space="preserve">The CLASS Curriculum Committee asks the GEOC Subcommittee to replace the 2026/2027 GEOC alignment form with a shorter form, beginning with the 2027–2028 proposal cycle. The CLASS Council of Chairs recommended that we put our position in writing, and a proposed new GEOC form is attached.</w:t>
      </w:r>
    </w:p>
    <w:p>
      <w:pPr>
        <w:spacing w:after="140" w:before="0" w:line="312" w:lineRule="auto"/>
      </w:pPr>
      <w:r>
        <w:rPr>
          <w:rFonts w:ascii="Roboto Serif" w:cs="Roboto Serif" w:eastAsia="Roboto Serif" w:hAnsi="Roboto Serif"/>
          <w:color w:val="000000"/>
          <w:sz w:val="21"/>
          <w:szCs w:val="21"/>
        </w:rPr>
        <w:t xml:space="preserve">Our committee is the college step for every CLASS course and program proposal. We review new courses, course revisions, revisions with recertification, and program proposals. Each proposal is assigned to one member, who records the review before the meeting. The committee votes at the meeting, and the chair follows up with each originator on the revisions the committee asks for.</w:t>
      </w:r>
    </w:p>
    <w:p>
      <w:pPr>
        <w:spacing w:after="140" w:before="0" w:line="312" w:lineRule="auto"/>
      </w:pPr>
      <w:r>
        <w:rPr>
          <w:rFonts w:ascii="Roboto Serif" w:cs="Roboto Serif" w:eastAsia="Roboto Serif" w:hAnsi="Roboto Serif"/>
          <w:color w:val="000000"/>
          <w:sz w:val="21"/>
          <w:szCs w:val="21"/>
        </w:rPr>
        <w:t xml:space="preserve">Until this year, we also read GEOC proposals for content. The review wasn’t in depth, but it made sure a proposal was solid enough for GEOC to discuss. We sent back, for example, proposals that pasted the same justification under different GEOC learning outcomes. With the current form, that review is more work than the committee can do, and this year we decided not to review the content of GEOC proposals. We now confirm that the attachments GEOC requires are present, that the syllabus states the catalog description and the course, GE, and Overlay learning outcomes, and that the proposal and the syllabus agree.</w:t>
      </w:r>
    </w:p>
    <w:p>
      <w:pPr>
        <w:spacing w:after="140" w:before="0" w:line="312" w:lineRule="auto"/>
      </w:pPr>
      <w:r>
        <w:rPr>
          <w:rFonts w:ascii="Roboto Serif" w:cs="Roboto Serif" w:eastAsia="Roboto Serif" w:hAnsi="Roboto Serif"/>
          <w:color w:val="000000"/>
          <w:sz w:val="21"/>
          <w:szCs w:val="21"/>
        </w:rPr>
        <w:t xml:space="preserve">This fall, 6 members reviewed proposals, none with release time. Proposals launched by September 15 had to be approved at our step by October 15, and at our September 29 and October 6 meetings we reviewed 108 course proposals, 60 of them GEOC proposals, along with 2 program proposals.</w:t>
      </w:r>
    </w:p>
    <w:p>
      <w:pPr>
        <w:spacing w:after="140" w:before="0" w:line="312" w:lineRule="auto"/>
      </w:pPr>
      <w:r>
        <w:rPr>
          <w:rFonts w:ascii="Roboto Serif" w:cs="Roboto Serif" w:eastAsia="Roboto Serif" w:hAnsi="Roboto Serif"/>
          <w:color w:val="000000"/>
          <w:sz w:val="21"/>
          <w:szCs w:val="21"/>
        </w:rPr>
        <w:t xml:space="preserve">Reading the current form for content means reading each course twice. The form’s week-by-week outline and its list of every assignment repeat the syllabus, and a member has to check that the two versions agree. Without a content review, members still found 7 GEOC proposals this fall on which the form and the syllabus gave a different course title, different assignments, or different learning outcomes. Members also found 5 incomplete forms and 1 proposal with no form. Each became a note in the member’s review and a follow-up from the chair to the originator.</w:t>
      </w:r>
    </w:p>
    <w:p>
      <w:pPr>
        <w:spacing w:after="140" w:before="0" w:line="312" w:lineRule="auto"/>
      </w:pPr>
      <w:r>
        <w:rPr>
          <w:rFonts w:ascii="Roboto Serif" w:cs="Roboto Serif" w:eastAsia="Roboto Serif" w:hAnsi="Roboto Serif"/>
          <w:color w:val="000000"/>
          <w:sz w:val="21"/>
          <w:szCs w:val="21"/>
        </w:rPr>
        <w:t xml:space="preserve">The syllabus policy (25-26 CIC 1) already requires the course and GE learning outcomes, the required assignments, a course outline with due dates for key assignments, and the relative weight of graded components. The current form itself says the weekly outline will be on the syllabus as the policy requires. Faculty write this material twice, and our members read it twice.</w:t>
      </w:r>
    </w:p>
    <w:p>
      <w:pPr>
        <w:spacing w:after="140" w:before="0" w:line="312" w:lineRule="auto"/>
      </w:pPr>
      <w:r>
        <w:rPr>
          <w:rFonts w:ascii="Roboto Serif" w:cs="Roboto Serif" w:eastAsia="Roboto Serif" w:hAnsi="Roboto Serif"/>
          <w:color w:val="000000"/>
          <w:sz w:val="21"/>
          <w:szCs w:val="21"/>
        </w:rPr>
        <w:t xml:space="preserve">The attached proposed new GEOC form asks for one row per GEOC learning outcome, with the weeks the outcome is taught and the assignment where students demonstrate it, so GEOC can still see whether an outcome is taught across the term or in a single week. Course characteristics keep the paste-and-map method of the current form, delivery methods have their own box, and the originator confirms in one line that the syllabus includes the catalog description, the learning outcomes, the course outline, and word counts where an area sets a writing requirement. With the proposed new GEOC form, the committee could again read GEOC proposals for content before forwarding them to GEOC.</w:t>
      </w:r>
    </w:p>
    <w:p>
      <w:pPr>
        <w:spacing w:after="140" w:before="0" w:line="312" w:lineRule="auto"/>
      </w:pPr>
      <w:r>
        <w:rPr>
          <w:rFonts w:ascii="Roboto Serif" w:cs="Roboto Serif" w:eastAsia="Roboto Serif" w:hAnsi="Roboto Serif"/>
          <w:color w:val="000000"/>
          <w:sz w:val="21"/>
          <w:szCs w:val="21"/>
        </w:rPr>
        <w:t xml:space="preserve">The proposed new GEOC form does give up one thing. The current form’s full assignment list shows an assignment that’s on the syllabus but not in Curriculog even when the assignment isn’t tied to a learning outcome. The proposed new GEOC form shows only the assignments tied to an outcome or a course characteristic.</w:t>
      </w:r>
    </w:p>
    <w:p>
      <w:pPr>
        <w:spacing w:after="140" w:before="0" w:line="312" w:lineRule="auto"/>
      </w:pPr>
      <w:r>
        <w:rPr>
          <w:rFonts w:ascii="Roboto Serif" w:cs="Roboto Serif" w:eastAsia="Roboto Serif" w:hAnsi="Roboto Serif"/>
          <w:color w:val="000000"/>
          <w:sz w:val="21"/>
          <w:szCs w:val="21"/>
        </w:rPr>
        <w:t xml:space="preserve">We’d be glad to discuss the proposed new GEOC form at a GEOC meeting.</w:t>
      </w:r>
    </w:p>
    <w:p>
      <w:pPr>
        <w:spacing w:after="480" w:before="120" w:line="330" w:lineRule="auto"/>
      </w:pPr>
      <w:r>
        <w:rPr>
          <w:rFonts w:ascii="Roboto Serif" w:cs="Roboto Serif" w:eastAsia="Roboto Serif" w:hAnsi="Roboto Serif"/>
          <w:color w:val="000000"/>
          <w:sz w:val="21"/>
          <w:szCs w:val="21"/>
        </w:rPr>
        <w:t xml:space="preserve">Sincerely,</w:t>
      </w:r>
    </w:p>
    <w:p>
      <w:pPr>
        <w:spacing w:after="0" w:before="0" w:line="330" w:lineRule="auto"/>
      </w:pPr>
      <w:r>
        <w:rPr>
          <w:rFonts w:ascii="Roboto Serif" w:cs="Roboto Serif" w:eastAsia="Roboto Serif" w:hAnsi="Roboto Serif"/>
          <w:color w:val="000000"/>
          <w:sz w:val="21"/>
          <w:szCs w:val="21"/>
        </w:rPr>
        <w:t xml:space="preserve">Inés Thiebaut</w:t>
      </w:r>
    </w:p>
    <w:p>
      <w:pPr>
        <w:spacing w:after="240" w:before="0" w:line="330" w:lineRule="auto"/>
      </w:pPr>
      <w:r>
        <w:rPr>
          <w:rFonts w:ascii="Roboto Serif" w:cs="Roboto Serif" w:eastAsia="Roboto Serif" w:hAnsi="Roboto Serif"/>
          <w:color w:val="000000"/>
          <w:sz w:val="21"/>
          <w:szCs w:val="21"/>
        </w:rPr>
        <w:t xml:space="preserve">Chair, for the CLASS Curriculum Committee</w:t>
      </w:r>
    </w:p>
    <w:p>
      <w:pPr>
        <w:spacing w:after="240" w:before="0" w:line="330" w:lineRule="auto"/>
      </w:pPr>
      <w:r>
        <w:rPr>
          <w:rFonts w:ascii="Roboto Serif" w:cs="Roboto Serif" w:eastAsia="Roboto Serif" w:hAnsi="Roboto Serif"/>
          <w:color w:val="55575B"/>
          <w:sz w:val="19"/>
          <w:szCs w:val="19"/>
        </w:rPr>
        <w:t xml:space="preserve">Committee members: Jessica Santone, Walt Jacobs, Alexandra Sandoval, Trinie Dalton, Danvy Le, and John Bunce</w:t>
      </w:r>
    </w:p>
    <w:p>
      <w:pPr>
        <w:spacing w:after="0" w:before="0" w:line="330" w:lineRule="auto"/>
      </w:pPr>
      <w:r>
        <w:rPr>
          <w:rFonts w:ascii="Roboto Serif" w:cs="Roboto Serif" w:eastAsia="Roboto Serif" w:hAnsi="Roboto Serif"/>
          <w:color w:val="55575B"/>
          <w:sz w:val="19"/>
          <w:szCs w:val="19"/>
        </w:rPr>
        <w:t xml:space="preserve">Attachment: proposed new GEOC form</w:t>
      </w:r>
    </w:p>
    <w:p>
      <w:pPr>
        <w:spacing w:after="0" w:before="0" w:line="330" w:lineRule="auto"/>
      </w:pPr>
      <w:r>
        <w:rPr>
          <w:rFonts w:ascii="Roboto Serif" w:cs="Roboto Serif" w:eastAsia="Roboto Serif" w:hAnsi="Roboto Serif"/>
          <w:color w:val="55575B"/>
          <w:sz w:val="19"/>
          <w:szCs w:val="19"/>
        </w:rPr>
        <w:t xml:space="preserve">cc: Nicholas Baham, Interim Associate Dean, CLASS; Danika LeDuc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6" w:sz="4" w:space="8"/>
      </w:pBdr>
      <w:tabs>
        <w:tab w:val="right" w:pos="9360"/>
      </w:tabs>
    </w:pPr>
    <w:r>
      <w:rPr>
        <w:rFonts w:ascii="Montserrat" w:cs="Montserrat" w:eastAsia="Montserrat" w:hAnsi="Montserrat"/>
        <w:color w:val="55575B"/>
        <w:sz w:val="18"/>
        <w:szCs w:val="18"/>
      </w:rPr>
      <w:t xml:space="preserve">CLASS Curriculum Committee · letter on the GEOC alignment form</w:t>
    </w:r>
    <w:r>
      <w:tab/>
    </w:r>
    <w:r>
      <w:rPr>
        <w:rFonts w:ascii="Montserrat" w:cs="Montserrat" w:eastAsia="Montserrat" w:hAnsi="Montserrat"/>
        <w:color w:val="55575B"/>
        <w:sz w:val="18"/>
        <w:szCs w:val="18"/>
      </w:rPr>
      <w:t xml:space="preserve">Page </w:t>
    </w:r>
    <w:r>
      <w:rPr>
        <w:rFonts w:ascii="Montserrat" w:cs="Montserrat" w:eastAsia="Montserrat" w:hAnsi="Montserrat"/>
        <w:color w:val="55575B"/>
        <w:sz w:val="18"/>
        <w:szCs w:val="18"/>
      </w:rPr>
      <w:fldChar w:fldCharType="begin"/>
      <w:instrText xml:space="preserve">PAGE</w:instrText>
      <w:fldChar w:fldCharType="separate"/>
      <w:fldChar w:fldCharType="end"/>
    </w:r>
    <w:r>
      <w:rPr>
        <w:rFonts w:ascii="Montserrat" w:cs="Montserrat" w:eastAsia="Montserrat" w:hAnsi="Montserrat"/>
        <w:color w:val="55575B"/>
        <w:sz w:val="18"/>
        <w:szCs w:val="18"/>
      </w:rPr>
      <w:t xml:space="preserve"> of </w:t>
    </w:r>
    <w:r>
      <w:rPr>
        <w:rFonts w:ascii="Montserrat" w:cs="Montserrat" w:eastAsia="Montserrat" w:hAnsi="Montserrat"/>
        <w:color w:val="55575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Serif" w:cs="Roboto Serif" w:eastAsia="Roboto Serif" w:hAnsi="Roboto Serif"/>
        <w:color w:val="000000"/>
        <w:sz w:val="22"/>
        <w:szCs w:val="22"/>
      </w:rPr>
    </w:rPrDefault>
    <w:pPrDefault/>
  </w:docDefaults>
  <w:style w:type="paragraph" w:styleId="Title">
    <w:name w:val="Title"/>
    <w:basedOn w:val="Normal"/>
    <w:next w:val="Normal"/>
    <w:qFormat/>
    <w:rPr>
      <w:rFonts w:ascii="Montserrat" w:cs="Montserrat" w:eastAsia="Montserrat" w:hAnsi="Montserrat"/>
      <w:b/>
      <w:bCs/>
      <w:color w:val="000000"/>
      <w:sz w:val="56"/>
      <w:szCs w:val="56"/>
    </w:rPr>
  </w:style>
  <w:style w:type="paragraph" w:styleId="Heading1">
    <w:name w:val="Heading 1"/>
    <w:basedOn w:val="Normal"/>
    <w:next w:val="Normal"/>
    <w:qFormat/>
    <w:rPr>
      <w:rFonts w:ascii="Montserrat" w:cs="Montserrat" w:eastAsia="Montserrat" w:hAnsi="Montserrat"/>
      <w:b/>
      <w:bCs/>
      <w:color w:val="000000"/>
      <w:sz w:val="32"/>
      <w:szCs w:val="32"/>
    </w:rPr>
  </w:style>
  <w:style w:type="paragraph" w:styleId="Heading2">
    <w:name w:val="Heading 2"/>
    <w:basedOn w:val="Normal"/>
    <w:next w:val="Normal"/>
    <w:qFormat/>
    <w:rPr>
      <w:rFonts w:ascii="Montserrat" w:cs="Montserrat" w:eastAsia="Montserrat" w:hAnsi="Montserrat"/>
      <w:b/>
      <w:bCs/>
      <w:color w:val="000000"/>
      <w:sz w:val="26"/>
      <w:szCs w:val="26"/>
    </w:rPr>
  </w:style>
  <w:style w:type="paragraph" w:styleId="Heading3">
    <w:name w:val="Heading 3"/>
    <w:basedOn w:val="Normal"/>
    <w:next w:val="Normal"/>
    <w:qFormat/>
    <w:rPr>
      <w:rFonts w:ascii="Montserrat" w:cs="Montserrat" w:eastAsia="Montserrat" w:hAnsi="Montserrat"/>
      <w:b/>
      <w:bCs/>
      <w:color w:val="000000"/>
      <w:sz w:val="24"/>
      <w:szCs w:val="24"/>
    </w:rPr>
  </w:style>
  <w:style w:type="paragraph" w:styleId="Heading4">
    <w:name w:val="Heading 4"/>
    <w:basedOn w:val="Normal"/>
    <w:next w:val="Normal"/>
    <w:qFormat/>
    <w:rPr>
      <w:rFonts w:ascii="Montserrat" w:cs="Montserrat" w:eastAsia="Montserrat" w:hAnsi="Montserrat"/>
      <w:b/>
      <w:bCs/>
      <w:color w:val="000000"/>
    </w:rPr>
  </w:style>
  <w:style w:type="paragraph" w:styleId="Heading5">
    <w:name w:val="Heading 5"/>
    <w:basedOn w:val="Normal"/>
    <w:next w:val="Normal"/>
    <w:qFormat/>
    <w:rPr>
      <w:rFonts w:ascii="Montserrat" w:cs="Montserrat" w:eastAsia="Montserrat" w:hAnsi="Montserrat"/>
      <w:b/>
      <w:bCs/>
      <w:color w:val="000000"/>
    </w:rPr>
  </w:style>
  <w:style w:type="paragraph" w:styleId="Heading6">
    <w:name w:val="Heading 6"/>
    <w:basedOn w:val="Normal"/>
    <w:next w:val="Normal"/>
    <w:qFormat/>
    <w:rPr>
      <w:rFonts w:ascii="Montserrat" w:cs="Montserrat" w:eastAsia="Montserrat" w:hAnsi="Montserrat"/>
      <w:b/>
      <w:bCs/>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5003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