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urier Prime" w:cs="Courier Prime" w:eastAsia="Courier Prime" w:hAnsi="Courier Prime"/>
          <w:color w:val="6E1F2A"/>
          <w:sz w:val="18"/>
          <w:szCs w:val="18"/>
        </w:rPr>
        <w:t xml:space="preserve">office of graduate studies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prepared for</w:t>
            </w:r>
          </w:p>
          <w:p>
            <w:r>
              <w:rPr>
                <w:rFonts w:ascii="Courier Prime" w:cs="Courier Prime" w:eastAsia="Courier Prime" w:hAnsi="Courier Prime"/>
                <w:color w:val="1B1C1E"/>
                <w:sz w:val="20"/>
                <w:szCs w:val="20"/>
              </w:rPr>
              <w:t xml:space="preserve">joshua kerr, faculty director</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document</w:t>
            </w:r>
          </w:p>
          <w:p>
            <w:r>
              <w:rPr>
                <w:rFonts w:ascii="Courier Prime" w:cs="Courier Prime" w:eastAsia="Courier Prime" w:hAnsi="Courier Prime"/>
                <w:color w:val="1B1C1E"/>
                <w:sz w:val="20"/>
                <w:szCs w:val="20"/>
              </w:rPr>
              <w:t xml:space="preserve">program listings review</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cycle</w:t>
            </w:r>
          </w:p>
          <w:p>
            <w:r>
              <w:rPr>
                <w:rFonts w:ascii="Courier Prime" w:cs="Courier Prime" w:eastAsia="Courier Prime" w:hAnsi="Courier Prime"/>
                <w:color w:val="1B1C1E"/>
                <w:sz w:val="20"/>
                <w:szCs w:val="20"/>
              </w:rPr>
              <w:t xml:space="preserve">fall 2027 admission</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status</w:t>
            </w:r>
          </w:p>
          <w:p>
            <w:r>
              <w:rPr>
                <w:rFonts w:ascii="Courier Prime" w:cs="Courier Prime" w:eastAsia="Courier Prime" w:hAnsi="Courier Prime"/>
                <w:color w:val="1B1C1E"/>
                <w:sz w:val="20"/>
                <w:szCs w:val="20"/>
              </w:rPr>
              <w:t xml:space="preserve">notes for discussion</w:t>
            </w:r>
          </w:p>
        </w:tc>
      </w:tr>
    </w:tbl>
    <w:p>
      <w:pPr>
        <w:pBdr>
          <w:bottom w:val="single" w:color="6E1F2A" w:sz="12" w:space="4"/>
        </w:pBdr>
        <w:spacing w:after="280" w:before="120"/>
      </w:pPr>
    </w:p>
    <w:p>
      <w:pPr>
        <w:spacing w:after="90"/>
      </w:pPr>
      <w:r>
        <w:rPr>
          <w:rFonts w:ascii="Courier Prime" w:cs="Courier Prime" w:eastAsia="Courier Prime" w:hAnsi="Courier Prime"/>
          <w:b/>
          <w:bCs/>
          <w:color w:val="1B1C1E"/>
          <w:sz w:val="40"/>
          <w:szCs w:val="40"/>
        </w:rPr>
        <w:t xml:space="preserve">graduate program listings</w:t>
      </w:r>
    </w:p>
    <w:p>
      <w:pPr>
        <w:spacing w:after="320"/>
      </w:pPr>
      <w:r>
        <w:rPr>
          <w:rFonts w:ascii="Courier Prime" w:cs="Courier Prime" w:eastAsia="Courier Prime" w:hAnsi="Courier Prime"/>
          <w:color w:val="5E6166"/>
          <w:sz w:val="20"/>
          <w:szCs w:val="20"/>
        </w:rPr>
        <w:t xml:space="preserve">prepared by i. thiebaut · september 2026 · sources: 2026-2027 catalog and the graduate studies program tiles</w:t>
      </w:r>
    </w:p>
    <w:p>
      <w:pPr>
        <w:spacing w:after="130" w:before="300"/>
      </w:pPr>
      <w:r>
        <w:rPr>
          <w:rFonts w:ascii="Courier Prime" w:cs="Courier Prime" w:eastAsia="Courier Prime" w:hAnsi="Courier Prime"/>
          <w:b/>
          <w:bCs/>
          <w:color w:val="6E1F2A"/>
          <w:sz w:val="26"/>
          <w:szCs w:val="26"/>
        </w:rPr>
        <w:t xml:space="preserve">01  </w:t>
      </w:r>
      <w:r>
        <w:rPr>
          <w:rFonts w:ascii="Courier Prime" w:cs="Courier Prime" w:eastAsia="Courier Prime" w:hAnsi="Courier Prime"/>
          <w:b/>
          <w:bCs/>
          <w:color w:val="1B1C1E"/>
          <w:sz w:val="26"/>
          <w:szCs w:val="26"/>
        </w:rPr>
        <w:t xml:space="preserve">catalog and tiles</w:t>
      </w:r>
    </w:p>
    <w:p>
      <w:pPr>
        <w:spacing w:after="160" w:line="330"/>
      </w:pPr>
      <w:r>
        <w:rPr>
          <w:rFonts w:ascii="Source Serif 4" w:cs="Source Serif 4" w:eastAsia="Source Serif 4" w:hAnsi="Source Serif 4"/>
          <w:color w:val="1B1C1E"/>
          <w:sz w:val="22"/>
          <w:szCs w:val="22"/>
        </w:rPr>
        <w:t xml:space="preserve">The 2026-2027 catalog carries 50 graduate entries and the tiles carry 48. The two lists disagree in both directions.</w:t>
      </w:r>
    </w:p>
    <w:p>
      <w:pPr>
        <w:spacing w:after="80" w:line="330"/>
      </w:pPr>
      <w:r>
        <w:rPr>
          <w:rFonts w:ascii="Source Serif 4" w:cs="Source Serif 4" w:eastAsia="Source Serif 4" w:hAnsi="Source Serif 4"/>
          <w:color w:val="1B1C1E"/>
          <w:sz w:val="22"/>
          <w:szCs w:val="22"/>
        </w:rPr>
        <w:t xml:space="preserve">On the tiles and not in the catalog:</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Biostatistics as a separate master’s. The catalog carries it as a Statistics concentration.</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Administrative Services Credential Clear Induction.</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Foundational Mathematics, Single Subject.</w:t>
      </w:r>
    </w:p>
    <w:p>
      <w:pPr>
        <w:spacing w:after="80" w:line="330"/>
      </w:pPr>
      <w:r>
        <w:rPr>
          <w:rFonts w:ascii="Source Serif 4" w:cs="Source Serif 4" w:eastAsia="Source Serif 4" w:hAnsi="Source Serif 4"/>
          <w:color w:val="1B1C1E"/>
          <w:sz w:val="22"/>
          <w:szCs w:val="22"/>
        </w:rPr>
        <w:t xml:space="preserve">In the catalog and not on the tiles:</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Communication, M.A.</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Quantitative Economics, M.S.</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Interaction and User Experience Design Certificate.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Physical Education Single Subject Matter Preparation.</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Social Science Single Subject Matter Preparation.</w:t>
      </w:r>
    </w:p>
    <w:p>
      <w:pPr>
        <w:spacing w:after="80" w:line="330"/>
      </w:pPr>
      <w:r>
        <w:rPr>
          <w:rFonts w:ascii="Source Serif 4" w:cs="Source Serif 4" w:eastAsia="Source Serif 4" w:hAnsi="Source Serif 4"/>
          <w:color w:val="1B1C1E"/>
          <w:sz w:val="22"/>
          <w:szCs w:val="22"/>
        </w:rPr>
        <w:t xml:space="preserve">Named differently across the two:</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catalog’s Post-baccalaureate Health Professions Academic Program Certificate is the Pre-Professional Health Academic Program (PHAP) tile.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One Counseling tile stands for the three concentrations the catalog lists under Counseling Psychology, M.S.</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Multiple Subject and Single Subject credentials appear as Multi-subject Teaching and Single-subject Teaching.</w:t>
      </w:r>
    </w:p>
    <w:p>
      <w:pPr>
        <w:spacing w:after="130" w:before="300"/>
      </w:pPr>
      <w:r>
        <w:rPr>
          <w:rFonts w:ascii="Courier Prime" w:cs="Courier Prime" w:eastAsia="Courier Prime" w:hAnsi="Courier Prime"/>
          <w:b/>
          <w:bCs/>
          <w:color w:val="6E1F2A"/>
          <w:sz w:val="26"/>
          <w:szCs w:val="26"/>
        </w:rPr>
        <w:t xml:space="preserve">02  </w:t>
      </w:r>
      <w:r>
        <w:rPr>
          <w:rFonts w:ascii="Courier Prime" w:cs="Courier Prime" w:eastAsia="Courier Prime" w:hAnsi="Courier Prime"/>
          <w:b/>
          <w:bCs/>
          <w:color w:val="1B1C1E"/>
          <w:sz w:val="26"/>
          <w:szCs w:val="26"/>
        </w:rPr>
        <w:t xml:space="preserve">tile links</w:t>
      </w:r>
    </w:p>
    <w:p>
      <w:pPr>
        <w:spacing w:after="160" w:line="330"/>
      </w:pPr>
      <w:r>
        <w:rPr>
          <w:rFonts w:ascii="Source Serif 4" w:cs="Source Serif 4" w:eastAsia="Source Serif 4" w:hAnsi="Source Serif 4"/>
          <w:color w:val="1B1C1E"/>
          <w:sz w:val="22"/>
          <w:szCs w:val="22"/>
        </w:rPr>
        <w:t xml:space="preserve">Fifteen of the 48 tiles share six URLs between them. Some of these may be deliberate.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Curriculum and Instruction, Early Childhood Education, and Educational Technology all reach the Teacher Education masters index.</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Mathematics, Foundational Mathematics, and Mathematics Single Subject Matter all reach the mathematics degrees and programs page.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Statistics, Applied Statistics, and Theoretical Statistics all reach the statistics degrees and programs page.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Construction Management and Engineering Management share the engineering graduate degrees page.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Special Education and Education Specialist share the credential student service center page.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Speech-Language Pathology and Speech Language Pathology Services share the master’s program page.</w:t>
      </w:r>
    </w:p>
    <w:p>
      <w:pPr>
        <w:spacing w:after="0" w:line="330"/>
      </w:pPr>
      <w:r>
        <w:rPr>
          <w:rFonts w:ascii="Source Serif 4" w:cs="Source Serif 4" w:eastAsia="Source Serif 4" w:hAnsi="Source Serif 4"/>
          <w:color w:val="1B1C1E"/>
          <w:sz w:val="22"/>
          <w:szCs w:val="22"/>
        </w:rPr>
        <w:t xml:space="preserve">The Educational Technology certificate tile is a separate case. It points into catalog year 39, where the current catalog is 44.</w:t>
      </w:r>
    </w:p>
    <w:p>
      <w:pPr>
        <w:spacing w:after="130" w:before="300"/>
      </w:pPr>
      <w:r>
        <w:rPr>
          <w:rFonts w:ascii="Courier Prime" w:cs="Courier Prime" w:eastAsia="Courier Prime" w:hAnsi="Courier Prime"/>
          <w:b/>
          <w:bCs/>
          <w:color w:val="6E1F2A"/>
          <w:sz w:val="26"/>
          <w:szCs w:val="26"/>
        </w:rPr>
        <w:t xml:space="preserve">03  </w:t>
      </w:r>
      <w:r>
        <w:rPr>
          <w:rFonts w:ascii="Courier Prime" w:cs="Courier Prime" w:eastAsia="Courier Prime" w:hAnsi="Courier Prime"/>
          <w:b/>
          <w:bCs/>
          <w:color w:val="1B1C1E"/>
          <w:sz w:val="26"/>
          <w:szCs w:val="26"/>
        </w:rPr>
        <w:t xml:space="preserve">the unpublished directory page</w:t>
      </w:r>
    </w:p>
    <w:p>
      <w:pPr>
        <w:spacing w:after="160" w:line="330"/>
      </w:pPr>
      <w:r>
        <w:rPr>
          <w:rFonts w:ascii="Source Serif 4" w:cs="Source Serif 4" w:eastAsia="Source Serif 4" w:hAnsi="Source Serif 4"/>
          <w:color w:val="1B1C1E"/>
          <w:sz w:val="22"/>
          <w:szCs w:val="22"/>
        </w:rPr>
        <w:t xml:space="preserve">/graduate-studies/graduate-program-directory.html is tagged “Unused page. Do not publish.” and is live.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prospective graduate students page sends applicants there for program coordinator contacts.</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It carries no Music tile.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Its links point into catalog years 33 and 39.</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It lists eLearning Administration, eLearning Design, and eLearning Technology certificates, which I found on no other page.</w:t>
      </w:r>
    </w:p>
    <w:p>
      <w:pPr>
        <w:spacing w:after="130" w:before="300"/>
      </w:pPr>
      <w:r>
        <w:rPr>
          <w:rFonts w:ascii="Courier Prime" w:cs="Courier Prime" w:eastAsia="Courier Prime" w:hAnsi="Courier Prime"/>
          <w:b/>
          <w:bCs/>
          <w:color w:val="6E1F2A"/>
          <w:sz w:val="26"/>
          <w:szCs w:val="26"/>
        </w:rPr>
        <w:t xml:space="preserve">04  </w:t>
      </w:r>
      <w:r>
        <w:rPr>
          <w:rFonts w:ascii="Courier Prime" w:cs="Courier Prime" w:eastAsia="Courier Prime" w:hAnsi="Courier Prime"/>
          <w:b/>
          <w:bCs/>
          <w:color w:val="1B1C1E"/>
          <w:sz w:val="26"/>
          <w:szCs w:val="26"/>
        </w:rPr>
        <w:t xml:space="preserve">program status for fall 2027</w:t>
      </w:r>
    </w:p>
    <w:p>
      <w:pPr>
        <w:spacing w:after="160" w:line="330"/>
      </w:pPr>
      <w:r>
        <w:rPr>
          <w:rFonts w:ascii="Source Serif 4" w:cs="Source Serif 4" w:eastAsia="Source Serif 4" w:hAnsi="Source Serif 4"/>
          <w:color w:val="1B1C1E"/>
          <w:sz w:val="22"/>
          <w:szCs w:val="22"/>
        </w:rPr>
        <w:t xml:space="preserve">Public pages don’t settle these. Each needs a department answer before the fairs.</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English, M.A. In neither the catalog nor the tiles. The International Programs document records it as suspended until Fall 2026.</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Art, M.A. In neither the catalog nor the tiles, and linked from the prospective graduate students page.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Communication, M.A. In the catalog, absent from the tiles, recorded as suspended.</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Business Administration, M.B.A., Global Innovators Concentration. Recorded as not accepting applications for Fall 2026.</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three eLearning certificates.</w:t>
      </w:r>
    </w:p>
    <w:p>
      <w:pPr>
        <w:spacing w:after="130" w:before="300"/>
      </w:pPr>
      <w:r>
        <w:rPr>
          <w:rFonts w:ascii="Courier Prime" w:cs="Courier Prime" w:eastAsia="Courier Prime" w:hAnsi="Courier Prime"/>
          <w:b/>
          <w:bCs/>
          <w:color w:val="6E1F2A"/>
          <w:sz w:val="26"/>
          <w:szCs w:val="26"/>
        </w:rPr>
        <w:t xml:space="preserve">05  </w:t>
      </w:r>
      <w:r>
        <w:rPr>
          <w:rFonts w:ascii="Courier Prime" w:cs="Courier Prime" w:eastAsia="Courier Prime" w:hAnsi="Courier Prime"/>
          <w:b/>
          <w:bCs/>
          <w:color w:val="1B1C1E"/>
          <w:sz w:val="26"/>
          <w:szCs w:val="26"/>
        </w:rPr>
        <w:t xml:space="preserve">pages outside the graduate studies site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English department’s graduate page is live under the heading “New M.A. in English at CSU East Bay” and advertises applications for Fall 2024 through Cal State Apply.</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International Programs admission requirements document is stamped “Information verified 7/15/2025”. It carries the English M.A. as suspended until Fall 2026, the Global Innovators M.B.A. as not accepting for Fall 2026, and the Computer Science GRE as waived for Fall 2025 and Spring 2026. International applicants for Fall 2027 read this document.</w:t>
      </w:r>
    </w:p>
    <w:p>
      <w:pPr>
        <w:spacing w:after="130" w:before="300"/>
      </w:pPr>
      <w:r>
        <w:rPr>
          <w:rFonts w:ascii="Courier Prime" w:cs="Courier Prime" w:eastAsia="Courier Prime" w:hAnsi="Courier Prime"/>
          <w:b/>
          <w:bCs/>
          <w:color w:val="6E1F2A"/>
          <w:sz w:val="26"/>
          <w:szCs w:val="26"/>
        </w:rPr>
        <w:t xml:space="preserve">06  </w:t>
      </w:r>
      <w:r>
        <w:rPr>
          <w:rFonts w:ascii="Courier Prime" w:cs="Courier Prime" w:eastAsia="Courier Prime" w:hAnsi="Courier Prime"/>
          <w:b/>
          <w:bCs/>
          <w:color w:val="1B1C1E"/>
          <w:sz w:val="26"/>
          <w:szCs w:val="26"/>
        </w:rPr>
        <w:t xml:space="preserve">prospective graduate students page</w:t>
      </w:r>
    </w:p>
    <w:p>
      <w:pPr>
        <w:spacing w:after="160" w:line="330"/>
      </w:pPr>
      <w:r>
        <w:rPr>
          <w:rFonts w:ascii="Source Serif 4" w:cs="Source Serif 4" w:eastAsia="Source Serif 4" w:hAnsi="Source Serif 4"/>
          <w:color w:val="1B1C1E"/>
          <w:sz w:val="22"/>
          <w:szCs w:val="22"/>
        </w:rPr>
        <w:t xml:space="preserve">The department list runs under a College of Education and Allied Studies heading.</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Kinesiology, Nursing, Speech Language and Hearing Sciences, and Social Work are College of Health.</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Hospitality, Recreation and Tourism is CLASS.</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Special Education has no entry.</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Biological Sciences links to a Blogspot site.</w:t>
      </w:r>
    </w:p>
    <w:p>
      <w:pPr>
        <w:spacing w:after="130" w:before="300"/>
      </w:pPr>
      <w:r>
        <w:rPr>
          <w:rFonts w:ascii="Courier Prime" w:cs="Courier Prime" w:eastAsia="Courier Prime" w:hAnsi="Courier Prime"/>
          <w:b/>
          <w:bCs/>
          <w:color w:val="6E1F2A"/>
          <w:sz w:val="26"/>
          <w:szCs w:val="26"/>
        </w:rPr>
        <w:t xml:space="preserve">07  </w:t>
      </w:r>
      <w:r>
        <w:rPr>
          <w:rFonts w:ascii="Courier Prime" w:cs="Courier Prime" w:eastAsia="Courier Prime" w:hAnsi="Courier Prime"/>
          <w:b/>
          <w:bCs/>
          <w:color w:val="1B1C1E"/>
          <w:sz w:val="26"/>
          <w:szCs w:val="26"/>
        </w:rPr>
        <w:t xml:space="preserve">contact block</w:t>
      </w:r>
    </w:p>
    <w:p>
      <w:pPr>
        <w:spacing w:after="160" w:line="330"/>
      </w:pPr>
      <w:r>
        <w:rPr>
          <w:rFonts w:ascii="Source Serif 4" w:cs="Source Serif 4" w:eastAsia="Source Serif 4" w:hAnsi="Source Serif 4"/>
          <w:color w:val="1B1C1E"/>
          <w:sz w:val="22"/>
          <w:szCs w:val="22"/>
        </w:rPr>
        <w:t xml:space="preserve">Two entries on the Graduate Studies page:</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Divya Sitaraman’s email is listed as joshua.kerr@csueastbay.edu.</w:t>
      </w:r>
    </w:p>
    <w:p>
      <w:pPr>
        <w:numPr>
          <w:ilvl w:val="0"/>
          <w:numId w:val="1"/>
        </w:numPr>
        <w:spacing w:after="70" w:line="300"/>
        <w:ind w:left="380" w:hanging="270"/>
      </w:pPr>
      <w:r>
        <w:rPr>
          <w:rFonts w:ascii="Source Serif 4" w:cs="Source Serif 4" w:eastAsia="Source Serif 4" w:hAnsi="Source Serif 4"/>
          <w:color w:val="1B1C1E"/>
          <w:sz w:val="22"/>
          <w:szCs w:val="22"/>
        </w:rPr>
        <w:t xml:space="preserve">The graduate recruitment facilitator is listed as a Graduate Student Success Facilitator.</w:t>
      </w:r>
    </w:p>
    <w:p>
      <w:pPr>
        <w:spacing w:before="3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tcPr>
          <w:p>
            <w:pPr>
              <w:spacing w:after="70"/>
            </w:pPr>
            <w:r>
              <w:rPr>
                <w:rFonts w:ascii="Courier Prime" w:cs="Courier Prime" w:eastAsia="Courier Prime" w:hAnsi="Courier Prime"/>
                <w:color w:val="6E1F2A"/>
                <w:sz w:val="17"/>
                <w:szCs w:val="17"/>
              </w:rPr>
              <w:t xml:space="preserve">scope note</w:t>
            </w:r>
          </w:p>
          <w:p>
            <w:pPr>
              <w:spacing w:line="300"/>
            </w:pPr>
            <w:r>
              <w:rPr>
                <w:rFonts w:ascii="Source Serif 4" w:cs="Source Serif 4" w:eastAsia="Source Serif 4" w:hAnsi="Source Serif 4"/>
                <w:color w:val="1B1C1E"/>
                <w:sz w:val="22"/>
                <w:szCs w:val="22"/>
              </w:rPr>
              <w:t xml:space="preserve">Sections 01 and 02 come from the catalog and the tile markup. Accountancy is the one tile destination opened; the other 47 are unchecked.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3" w:sz="4" w:space="8"/>
      </w:pBdr>
      <w:tabs>
        <w:tab w:val="right" w:pos="9360"/>
      </w:tabs>
    </w:pPr>
    <w:r>
      <w:rPr>
        <w:rFonts w:ascii="Courier Prime" w:cs="Courier Prime" w:eastAsia="Courier Prime" w:hAnsi="Courier Prime"/>
        <w:color w:val="5E6166"/>
        <w:sz w:val="18"/>
        <w:szCs w:val="18"/>
      </w:rPr>
      <w:t xml:space="preserve">program listings review · office of graduate studies</w:t>
    </w:r>
    <w:r>
      <w:tab/>
    </w:r>
    <w:r>
      <w:rPr>
        <w:rFonts w:ascii="Courier Prime" w:cs="Courier Prime" w:eastAsia="Courier Prime" w:hAnsi="Courier Prime"/>
        <w:color w:val="5E6166"/>
        <w:sz w:val="18"/>
        <w:szCs w:val="18"/>
      </w:rPr>
      <w:t xml:space="preserve">page </w:t>
    </w:r>
    <w:r>
      <w:rPr>
        <w:rFonts w:ascii="Courier Prime" w:cs="Courier Prime" w:eastAsia="Courier Prime" w:hAnsi="Courier Prime"/>
        <w:color w:val="5E6166"/>
        <w:sz w:val="18"/>
        <w:szCs w:val="18"/>
      </w:rPr>
      <w:fldChar w:fldCharType="begin"/>
      <w:instrText xml:space="preserve">PAGE</w:instrText>
      <w:fldChar w:fldCharType="separate"/>
      <w:fldChar w:fldCharType="end"/>
    </w:r>
    <w:r>
      <w:rPr>
        <w:rFonts w:ascii="Courier Prime" w:cs="Courier Prime" w:eastAsia="Courier Prime" w:hAnsi="Courier Prime"/>
        <w:color w:val="5E6166"/>
        <w:sz w:val="18"/>
        <w:szCs w:val="18"/>
      </w:rPr>
      <w:t xml:space="preserve"> of </w:t>
    </w:r>
    <w:r>
      <w:rPr>
        <w:rFonts w:ascii="Courier Prime" w:cs="Courier Prime" w:eastAsia="Courier Prime" w:hAnsi="Courier Prime"/>
        <w:color w:val="5E61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B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