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urier Prime" w:cs="Courier Prime" w:eastAsia="Courier Prime" w:hAnsi="Courier Prime"/>
          <w:color w:val="6E1F2A"/>
          <w:sz w:val="18"/>
          <w:szCs w:val="18"/>
        </w:rPr>
        <w:t xml:space="preserve">course syllabus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units</w:t>
            </w:r>
          </w:p>
          <w:p>
            <w:pPr>
              <w:spacing w:after="0"/>
            </w:pPr>
            <w:r>
              <w:rPr>
                <w:rFonts w:ascii="Courier Prime" w:cs="Courier Prime" w:eastAsia="Courier Prime" w:hAnsi="Courier Prime"/>
                <w:color w:val="1B1C1E"/>
                <w:sz w:val="20"/>
                <w:szCs w:val="20"/>
              </w:rPr>
              <w:t xml:space="preserve">2</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grading</w:t>
            </w:r>
          </w:p>
          <w:p>
            <w:pPr>
              <w:spacing w:after="0"/>
            </w:pPr>
            <w:r>
              <w:rPr>
                <w:rFonts w:ascii="Courier Prime" w:cs="Courier Prime" w:eastAsia="Courier Prime" w:hAnsi="Courier Prime"/>
                <w:color w:val="1B1C1E"/>
                <w:sz w:val="20"/>
                <w:szCs w:val="20"/>
              </w:rPr>
              <w:t xml:space="preserve">A–F or CR/NC (student choice)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format</w:t>
            </w:r>
          </w:p>
          <w:p>
            <w:pPr>
              <w:spacing w:after="0"/>
            </w:pPr>
            <w:r>
              <w:rPr>
                <w:rFonts w:ascii="Courier Prime" w:cs="Courier Prime" w:eastAsia="Courier Prime" w:hAnsi="Courier Prime"/>
                <w:color w:val="1B1C1E"/>
                <w:sz w:val="20"/>
                <w:szCs w:val="20"/>
              </w:rPr>
              <w:t xml:space="preserve">on-ground</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offered</w:t>
            </w:r>
          </w:p>
          <w:p>
            <w:pPr>
              <w:spacing w:after="0"/>
            </w:pPr>
            <w:r>
              <w:rPr>
                <w:rFonts w:ascii="Courier Prime" w:cs="Courier Prime" w:eastAsia="Courier Prime" w:hAnsi="Courier Prime"/>
                <w:color w:val="1B1C1E"/>
                <w:sz w:val="20"/>
                <w:szCs w:val="20"/>
              </w:rPr>
              <w:t xml:space="preserve">spring only</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prerequisite</w:t>
            </w:r>
          </w:p>
          <w:p>
            <w:pPr>
              <w:spacing w:after="0"/>
            </w:pPr>
            <w:r>
              <w:rPr>
                <w:rFonts w:ascii="Courier Prime" w:cs="Courier Prime" w:eastAsia="Courier Prime" w:hAnsi="Courier Prime"/>
                <w:color w:val="1B1C1E"/>
                <w:sz w:val="20"/>
                <w:szCs w:val="20"/>
              </w:rPr>
              <w:t xml:space="preserve">mus 108 or department permission</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co-requisites</w:t>
            </w:r>
          </w:p>
          <w:p>
            <w:pPr>
              <w:spacing w:after="0"/>
            </w:pPr>
            <w:r>
              <w:rPr>
                <w:rFonts w:ascii="Courier Prime" w:cs="Courier Prime" w:eastAsia="Courier Prime" w:hAnsi="Courier Prime"/>
                <w:color w:val="1B1C1E"/>
                <w:sz w:val="20"/>
                <w:szCs w:val="20"/>
              </w:rPr>
              <w:t xml:space="preserve">mus 115, mus 118</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department</w:t>
            </w:r>
          </w:p>
          <w:p>
            <w:pPr>
              <w:spacing w:after="0"/>
            </w:pPr>
            <w:r>
              <w:rPr>
                <w:rFonts w:ascii="Courier Prime" w:cs="Courier Prime" w:eastAsia="Courier Prime" w:hAnsi="Courier Prime"/>
                <w:color w:val="1B1C1E"/>
                <w:sz w:val="20"/>
                <w:szCs w:val="20"/>
              </w:rPr>
              <w:t xml:space="preserve">music, csu east bay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version</w:t>
            </w:r>
          </w:p>
          <w:p>
            <w:pPr>
              <w:spacing w:after="0"/>
            </w:pPr>
            <w:r>
              <w:rPr>
                <w:rFonts w:ascii="Courier Prime" w:cs="Courier Prime" w:eastAsia="Courier Prime" w:hAnsi="Courier Prime"/>
                <w:color w:val="1B1C1E"/>
                <w:sz w:val="20"/>
                <w:szCs w:val="20"/>
              </w:rPr>
              <w:t xml:space="preserve">2.0 · summer 2026</w:t>
            </w:r>
          </w:p>
        </w:tc>
      </w:tr>
    </w:tbl>
    <w:p>
      <w:pPr>
        <w:pBdr>
          <w:bottom w:val="single" w:color="6E1F2A" w:sz="12" w:space="4"/>
        </w:pBdr>
        <w:spacing w:after="280" w:before="120"/>
      </w:pPr>
    </w:p>
    <w:p>
      <w:pPr>
        <w:spacing w:after="90"/>
      </w:pPr>
      <w:r>
        <w:rPr>
          <w:rFonts w:ascii="Courier Prime" w:cs="Courier Prime" w:eastAsia="Courier Prime" w:hAnsi="Courier Prime"/>
          <w:b/>
          <w:bCs/>
          <w:color w:val="1B1C1E"/>
          <w:sz w:val="40"/>
          <w:szCs w:val="40"/>
        </w:rPr>
        <w:t xml:space="preserve">mus 111: music theory i</w:t>
      </w:r>
    </w:p>
    <w:p>
      <w:pPr>
        <w:spacing w:after="320"/>
      </w:pPr>
      <w:r>
        <w:rPr>
          <w:rFonts w:ascii="Courier Prime" w:cs="Courier Prime" w:eastAsia="Courier Prime" w:hAnsi="Courier Prime"/>
          <w:color w:val="5E6166"/>
          <w:sz w:val="20"/>
          <w:szCs w:val="20"/>
        </w:rPr>
        <w:t xml:space="preserve">diatonic harmony, part-writing, voice-leading, and harmonization</w:t>
      </w:r>
    </w:p>
    <w:p>
      <w:pPr>
        <w:spacing w:after="130" w:before="300"/>
      </w:pPr>
      <w:r>
        <w:rPr>
          <w:rFonts w:ascii="Courier Prime" w:cs="Courier Prime" w:eastAsia="Courier Prime" w:hAnsi="Courier Prime"/>
          <w:b/>
          <w:bCs/>
          <w:color w:val="6E1F2A"/>
          <w:sz w:val="26"/>
          <w:szCs w:val="26"/>
        </w:rPr>
        <w:t xml:space="preserve">01  </w:t>
      </w:r>
      <w:r>
        <w:rPr>
          <w:rFonts w:ascii="Courier Prime" w:cs="Courier Prime" w:eastAsia="Courier Prime" w:hAnsi="Courier Prime"/>
          <w:b/>
          <w:bCs/>
          <w:color w:val="1B1C1E"/>
          <w:sz w:val="26"/>
          <w:szCs w:val="26"/>
        </w:rPr>
        <w:t xml:space="preserve">contact information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instructor</w:t>
            </w:r>
          </w:p>
          <w:p>
            <w:pPr>
              <w:spacing w:after="0"/>
            </w:pPr>
            <w:r>
              <w:rPr>
                <w:rFonts w:ascii="Courier Prime" w:cs="Courier Prime" w:eastAsia="Courier Prime" w:hAnsi="Courier Prime"/>
                <w:color w:val="1B1C1E"/>
                <w:sz w:val="20"/>
                <w:szCs w:val="20"/>
              </w:rPr>
              <w:t xml:space="preserve">[instructor name]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office</w:t>
            </w:r>
          </w:p>
          <w:p>
            <w:pPr>
              <w:spacing w:after="0"/>
            </w:pPr>
            <w:r>
              <w:rPr>
                <w:rFonts w:ascii="Courier Prime" w:cs="Courier Prime" w:eastAsia="Courier Prime" w:hAnsi="Courier Prime"/>
                <w:color w:val="1B1C1E"/>
                <w:sz w:val="20"/>
                <w:szCs w:val="20"/>
              </w:rPr>
              <w:t xml:space="preserve">[office location]</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email</w:t>
            </w:r>
          </w:p>
          <w:p>
            <w:pPr>
              <w:spacing w:after="0"/>
            </w:pPr>
            <w:r>
              <w:rPr>
                <w:rFonts w:ascii="Courier Prime" w:cs="Courier Prime" w:eastAsia="Courier Prime" w:hAnsi="Courier Prime"/>
                <w:color w:val="1B1C1E"/>
                <w:sz w:val="20"/>
                <w:szCs w:val="20"/>
              </w:rPr>
              <w:t xml:space="preserve">[name]@csueastbay.edu</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office hours</w:t>
            </w:r>
          </w:p>
          <w:p>
            <w:pPr>
              <w:spacing w:after="0"/>
            </w:pPr>
            <w:r>
              <w:rPr>
                <w:rFonts w:ascii="Courier Prime" w:cs="Courier Prime" w:eastAsia="Courier Prime" w:hAnsi="Courier Prime"/>
                <w:color w:val="1B1C1E"/>
                <w:sz w:val="20"/>
                <w:szCs w:val="20"/>
              </w:rPr>
              <w:t xml:space="preserve">[days/times, in person or virtual]</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phone</w:t>
            </w:r>
          </w:p>
          <w:p>
            <w:pPr>
              <w:spacing w:after="0"/>
            </w:pPr>
            <w:r>
              <w:rPr>
                <w:rFonts w:ascii="Courier Prime" w:cs="Courier Prime" w:eastAsia="Courier Prime" w:hAnsi="Courier Prime"/>
                <w:color w:val="1B1C1E"/>
                <w:sz w:val="20"/>
                <w:szCs w:val="20"/>
              </w:rPr>
              <w:t xml:space="preserve">[phone number]</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vAlign w:val="top"/>
          </w:tcPr>
          <w:p>
            <w:pPr>
              <w:spacing w:after="24"/>
            </w:pPr>
            <w:r>
              <w:rPr>
                <w:rFonts w:ascii="Courier Prime" w:cs="Courier Prime" w:eastAsia="Courier Prime" w:hAnsi="Courier Prime"/>
                <w:color w:val="5E6166"/>
                <w:sz w:val="17"/>
                <w:szCs w:val="17"/>
              </w:rPr>
              <w:t xml:space="preserve">virtual hours</w:t>
            </w:r>
          </w:p>
          <w:p>
            <w:pPr>
              <w:spacing w:after="0"/>
            </w:pPr>
            <w:r>
              <w:rPr>
                <w:rFonts w:ascii="Courier Prime" w:cs="Courier Prime" w:eastAsia="Courier Prime" w:hAnsi="Courier Prime"/>
                <w:color w:val="1B1C1E"/>
                <w:sz w:val="20"/>
                <w:szCs w:val="20"/>
              </w:rPr>
              <w:t xml:space="preserve">[zoom link if applicable]</w:t>
            </w:r>
          </w:p>
        </w:tc>
      </w:tr>
    </w:tbl>
    <w:p>
      <w:pPr>
        <w:spacing w:after="130" w:before="300"/>
      </w:pPr>
      <w:r>
        <w:rPr>
          <w:rFonts w:ascii="Courier Prime" w:cs="Courier Prime" w:eastAsia="Courier Prime" w:hAnsi="Courier Prime"/>
          <w:b/>
          <w:bCs/>
          <w:color w:val="6E1F2A"/>
          <w:sz w:val="26"/>
          <w:szCs w:val="26"/>
        </w:rPr>
        <w:t xml:space="preserve">02  </w:t>
      </w:r>
      <w:r>
        <w:rPr>
          <w:rFonts w:ascii="Courier Prime" w:cs="Courier Prime" w:eastAsia="Courier Prime" w:hAnsi="Courier Prime"/>
          <w:b/>
          <w:bCs/>
          <w:color w:val="1B1C1E"/>
          <w:sz w:val="26"/>
          <w:szCs w:val="26"/>
        </w:rPr>
        <w:t xml:space="preserve">communicating with the instructor</w:t>
      </w:r>
    </w:p>
    <w:p>
      <w:pPr>
        <w:spacing w:after="160" w:line="330"/>
      </w:pPr>
      <w:r>
        <w:rPr>
          <w:rFonts w:ascii="Source Serif 4" w:cs="Source Serif 4" w:eastAsia="Source Serif 4" w:hAnsi="Source Serif 4"/>
          <w:color w:val="1B1C1E"/>
          <w:sz w:val="22"/>
          <w:szCs w:val="22"/>
        </w:rPr>
        <w:t xml:space="preserve">The best way to reach the instructor is by email. Expect a response within 48 hours on business days. Office hours are the most effective place to work through part-writing problems, analysis questions, or anything that benefits from working at the board together.</w:t>
      </w:r>
    </w:p>
    <w:p>
      <w:pPr>
        <w:spacing w:after="160" w:line="330"/>
      </w:pPr>
      <w:r>
        <w:rPr>
          <w:rFonts w:ascii="Source Serif 4" w:cs="Source Serif 4" w:eastAsia="Source Serif 4" w:hAnsi="Source Serif 4"/>
          <w:color w:val="1B1C1E"/>
          <w:sz w:val="22"/>
          <w:szCs w:val="22"/>
        </w:rPr>
        <w:t xml:space="preserve">Course announcements, assignment instructions, and grade updates will be posted on Canvas. Students are responsible for checking Canvas regularly. Feedback on graded work will be returned within one week of the submission deadline.</w:t>
      </w:r>
    </w:p>
    <w:p>
      <w:pPr>
        <w:spacing w:after="130" w:before="300"/>
      </w:pPr>
      <w:r>
        <w:rPr>
          <w:rFonts w:ascii="Courier Prime" w:cs="Courier Prime" w:eastAsia="Courier Prime" w:hAnsi="Courier Prime"/>
          <w:b/>
          <w:bCs/>
          <w:color w:val="6E1F2A"/>
          <w:sz w:val="26"/>
          <w:szCs w:val="26"/>
        </w:rPr>
        <w:t xml:space="preserve">03  </w:t>
      </w:r>
      <w:r>
        <w:rPr>
          <w:rFonts w:ascii="Courier Prime" w:cs="Courier Prime" w:eastAsia="Courier Prime" w:hAnsi="Courier Prime"/>
          <w:b/>
          <w:bCs/>
          <w:color w:val="1B1C1E"/>
          <w:sz w:val="26"/>
          <w:szCs w:val="26"/>
        </w:rPr>
        <w:t xml:space="preserve">course information</w:t>
      </w:r>
    </w:p>
    <w:p>
      <w:pPr>
        <w:spacing w:after="160" w:line="330"/>
      </w:pPr>
      <w:r>
        <w:rPr>
          <w:rFonts w:ascii="Source Serif 4" w:cs="Source Serif 4" w:eastAsia="Source Serif 4" w:hAnsi="Source Serif 4"/>
          <w:b/>
          <w:bCs/>
          <w:color w:val="1B1C1E"/>
          <w:sz w:val="22"/>
          <w:szCs w:val="22"/>
        </w:rPr>
        <w:t xml:space="preserve">Catalog description. </w:t>
      </w:r>
      <w:r>
        <w:rPr>
          <w:rFonts w:ascii="Source Serif 4" w:cs="Source Serif 4" w:eastAsia="Source Serif 4" w:hAnsi="Source Serif 4"/>
          <w:color w:val="1B1C1E"/>
          <w:sz w:val="22"/>
          <w:szCs w:val="22"/>
        </w:rPr>
        <w:t xml:space="preserve">The first of three intensive courses that introduce students to the inner workings of European art music of the 18th and 19th centuries. This course covers diatonic harmony, as well as part-writing, voice-leading, and harmonization techniques.</w:t>
      </w:r>
    </w:p>
    <w:p>
      <w:pPr>
        <w:spacing w:after="160" w:line="330"/>
      </w:pPr>
      <w:r>
        <w:rPr>
          <w:rFonts w:ascii="Source Serif 4" w:cs="Source Serif 4" w:eastAsia="Source Serif 4" w:hAnsi="Source Serif 4"/>
          <w:color w:val="1B1C1E"/>
          <w:sz w:val="22"/>
          <w:szCs w:val="22"/>
        </w:rPr>
        <w:t xml:space="preserve">This course assumes completion of MUS 108 or equivalent preparation. Students enter with a working knowledge of notation, scales, intervals, and triads, and will develop those fundamentals into a full working vocabulary of tonal harmony. The course is writing- and analysis-intensive: expect to spend significant time at the desk and at the keyboard.</w:t>
      </w:r>
    </w:p>
    <w:p>
      <w:pPr>
        <w:spacing w:after="130" w:before="300"/>
      </w:pPr>
      <w:r>
        <w:rPr>
          <w:rFonts w:ascii="Courier Prime" w:cs="Courier Prime" w:eastAsia="Courier Prime" w:hAnsi="Courier Prime"/>
          <w:b/>
          <w:bCs/>
          <w:color w:val="6E1F2A"/>
          <w:sz w:val="26"/>
          <w:szCs w:val="26"/>
        </w:rPr>
        <w:t xml:space="preserve">04  </w:t>
      </w:r>
      <w:r>
        <w:rPr>
          <w:rFonts w:ascii="Courier Prime" w:cs="Courier Prime" w:eastAsia="Courier Prime" w:hAnsi="Courier Prime"/>
          <w:b/>
          <w:bCs/>
          <w:color w:val="1B1C1E"/>
          <w:sz w:val="26"/>
          <w:szCs w:val="26"/>
        </w:rPr>
        <w:t xml:space="preserve">student learning outcomes</w:t>
      </w:r>
    </w:p>
    <w:p>
      <w:pPr>
        <w:spacing w:after="160" w:line="330"/>
      </w:pPr>
      <w:r>
        <w:rPr>
          <w:rFonts w:ascii="Source Serif 4" w:cs="Source Serif 4" w:eastAsia="Source Serif 4" w:hAnsi="Source Serif 4"/>
          <w:color w:val="1B1C1E"/>
          <w:sz w:val="22"/>
          <w:szCs w:val="22"/>
        </w:rPr>
        <w:t xml:space="preserve">Upon successful completion of this course, students will be able to: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8740"/>
      </w:tblGrid>
      <w:tr>
        <w:tc>
          <w:tcPr>
            <w:tcW w:type="dxa" w:w="620"/>
            <w:tcBorders>
              <w:top w:val="none" w:color="FFFFFF" w:sz="0"/>
              <w:left w:val="none" w:color="FFFFFF" w:sz="0"/>
              <w:bottom w:val="none" w:color="FFFFFF" w:sz="0"/>
              <w:right w:val="none" w:color="FFFFFF" w:sz="0"/>
            </w:tcBorders>
            <w:tcMar>
              <w:top w:type="dxa" w:w="70"/>
              <w:left w:type="dxa" w:w="0"/>
              <w:bottom w:type="dxa" w:w="70"/>
              <w:right w:type="dxa" w:w="60"/>
            </w:tcMar>
            <w:vAlign w:val="top"/>
          </w:tcPr>
          <w:p>
            <w:pPr>
              <w:spacing w:after="0"/>
            </w:pPr>
            <w:r>
              <w:rPr>
                <w:rFonts w:ascii="Courier Prime" w:cs="Courier Prime" w:eastAsia="Courier Prime" w:hAnsi="Courier Prime"/>
                <w:b/>
                <w:bCs/>
                <w:color w:val="6E1F2A"/>
                <w:sz w:val="20"/>
                <w:szCs w:val="20"/>
              </w:rPr>
              <w:t xml:space="preserve">01</w:t>
            </w:r>
          </w:p>
        </w:tc>
        <w:tc>
          <w:tcPr>
            <w:tcW w:type="dxa" w:w="8740"/>
            <w:tcBorders>
              <w:top w:val="none" w:color="FFFFFF" w:sz="0"/>
              <w:left w:val="none" w:color="FFFFFF" w:sz="0"/>
              <w:bottom w:val="none" w:color="FFFFFF" w:sz="0"/>
              <w:right w:val="none" w:color="FFFFFF" w:sz="0"/>
            </w:tcBorders>
            <w:tcMar>
              <w:top w:type="dxa" w:w="70"/>
              <w:left w:type="dxa" w:w="0"/>
              <w:bottom w:type="dxa" w:w="70"/>
              <w:right w:type="dxa" w:w="0"/>
            </w:tcMar>
            <w:vAlign w:val="top"/>
          </w:tcPr>
          <w:p>
            <w:pPr>
              <w:spacing w:after="0" w:line="320"/>
            </w:pPr>
            <w:r>
              <w:rPr>
                <w:rFonts w:ascii="Source Serif 4" w:cs="Source Serif 4" w:eastAsia="Source Serif 4" w:hAnsi="Source Serif 4"/>
                <w:color w:val="1B1C1E"/>
                <w:sz w:val="22"/>
                <w:szCs w:val="22"/>
              </w:rPr>
              <w:t xml:space="preserve">Read, write, and analyze the fundamental materials of tonal music using correct terminology and nomenclature.</w:t>
            </w:r>
          </w:p>
        </w:tc>
      </w:tr>
      <w:tr>
        <w:tc>
          <w:tcPr>
            <w:tcW w:type="dxa" w:w="620"/>
            <w:tcBorders>
              <w:top w:val="none" w:color="FFFFFF" w:sz="0"/>
              <w:left w:val="none" w:color="FFFFFF" w:sz="0"/>
              <w:bottom w:val="none" w:color="FFFFFF" w:sz="0"/>
              <w:right w:val="none" w:color="FFFFFF" w:sz="0"/>
            </w:tcBorders>
            <w:tcMar>
              <w:top w:type="dxa" w:w="70"/>
              <w:left w:type="dxa" w:w="0"/>
              <w:bottom w:type="dxa" w:w="70"/>
              <w:right w:type="dxa" w:w="60"/>
            </w:tcMar>
            <w:vAlign w:val="top"/>
          </w:tcPr>
          <w:p>
            <w:pPr>
              <w:spacing w:after="0"/>
            </w:pPr>
            <w:r>
              <w:rPr>
                <w:rFonts w:ascii="Courier Prime" w:cs="Courier Prime" w:eastAsia="Courier Prime" w:hAnsi="Courier Prime"/>
                <w:b/>
                <w:bCs/>
                <w:color w:val="6E1F2A"/>
                <w:sz w:val="20"/>
                <w:szCs w:val="20"/>
              </w:rPr>
              <w:t xml:space="preserve">02</w:t>
            </w:r>
          </w:p>
        </w:tc>
        <w:tc>
          <w:tcPr>
            <w:tcW w:type="dxa" w:w="8740"/>
            <w:tcBorders>
              <w:top w:val="none" w:color="FFFFFF" w:sz="0"/>
              <w:left w:val="none" w:color="FFFFFF" w:sz="0"/>
              <w:bottom w:val="none" w:color="FFFFFF" w:sz="0"/>
              <w:right w:val="none" w:color="FFFFFF" w:sz="0"/>
            </w:tcBorders>
            <w:tcMar>
              <w:top w:type="dxa" w:w="70"/>
              <w:left w:type="dxa" w:w="0"/>
              <w:bottom w:type="dxa" w:w="70"/>
              <w:right w:type="dxa" w:w="0"/>
            </w:tcMar>
            <w:vAlign w:val="top"/>
          </w:tcPr>
          <w:p>
            <w:pPr>
              <w:spacing w:after="0" w:line="320"/>
            </w:pPr>
            <w:r>
              <w:rPr>
                <w:rFonts w:ascii="Source Serif 4" w:cs="Source Serif 4" w:eastAsia="Source Serif 4" w:hAnsi="Source Serif 4"/>
                <w:color w:val="1B1C1E"/>
                <w:sz w:val="22"/>
                <w:szCs w:val="22"/>
              </w:rPr>
              <w:t xml:space="preserve">Construct and identify all triad and seventh chord types in root position and inversion.</w:t>
            </w:r>
          </w:p>
        </w:tc>
      </w:tr>
      <w:tr>
        <w:tc>
          <w:tcPr>
            <w:tcW w:type="dxa" w:w="620"/>
            <w:tcBorders>
              <w:top w:val="none" w:color="FFFFFF" w:sz="0"/>
              <w:left w:val="none" w:color="FFFFFF" w:sz="0"/>
              <w:bottom w:val="none" w:color="FFFFFF" w:sz="0"/>
              <w:right w:val="none" w:color="FFFFFF" w:sz="0"/>
            </w:tcBorders>
            <w:tcMar>
              <w:top w:type="dxa" w:w="70"/>
              <w:left w:type="dxa" w:w="0"/>
              <w:bottom w:type="dxa" w:w="70"/>
              <w:right w:type="dxa" w:w="60"/>
            </w:tcMar>
            <w:vAlign w:val="top"/>
          </w:tcPr>
          <w:p>
            <w:pPr>
              <w:spacing w:after="0"/>
            </w:pPr>
            <w:r>
              <w:rPr>
                <w:rFonts w:ascii="Courier Prime" w:cs="Courier Prime" w:eastAsia="Courier Prime" w:hAnsi="Courier Prime"/>
                <w:b/>
                <w:bCs/>
                <w:color w:val="6E1F2A"/>
                <w:sz w:val="20"/>
                <w:szCs w:val="20"/>
              </w:rPr>
              <w:t xml:space="preserve">03</w:t>
            </w:r>
          </w:p>
        </w:tc>
        <w:tc>
          <w:tcPr>
            <w:tcW w:type="dxa" w:w="8740"/>
            <w:tcBorders>
              <w:top w:val="none" w:color="FFFFFF" w:sz="0"/>
              <w:left w:val="none" w:color="FFFFFF" w:sz="0"/>
              <w:bottom w:val="none" w:color="FFFFFF" w:sz="0"/>
              <w:right w:val="none" w:color="FFFFFF" w:sz="0"/>
            </w:tcBorders>
            <w:tcMar>
              <w:top w:type="dxa" w:w="70"/>
              <w:left w:type="dxa" w:w="0"/>
              <w:bottom w:type="dxa" w:w="70"/>
              <w:right w:type="dxa" w:w="0"/>
            </w:tcMar>
            <w:vAlign w:val="top"/>
          </w:tcPr>
          <w:p>
            <w:pPr>
              <w:spacing w:after="0" w:line="320"/>
            </w:pPr>
            <w:r>
              <w:rPr>
                <w:rFonts w:ascii="Source Serif 4" w:cs="Source Serif 4" w:eastAsia="Source Serif 4" w:hAnsi="Source Serif 4"/>
                <w:color w:val="1B1C1E"/>
                <w:sz w:val="22"/>
                <w:szCs w:val="22"/>
              </w:rPr>
              <w:t xml:space="preserve">Write four-part (SATB) harmonic progressions using I, V, V</w:t>
            </w:r>
            <w:r>
              <w:rPr>
                <w:rFonts w:ascii="Source Serif 4" w:cs="Source Serif 4" w:eastAsia="Source Serif 4" w:hAnsi="Source Serif 4"/>
                <w:color w:val="1B1C1E"/>
                <w:sz w:val="22"/>
                <w:szCs w:val="22"/>
                <w:vertAlign w:val="superscript"/>
              </w:rPr>
              <w:t xml:space="preserve">7</w:t>
            </w:r>
            <w:r>
              <w:rPr>
                <w:rFonts w:ascii="Source Serif 4" w:cs="Source Serif 4" w:eastAsia="Source Serif 4" w:hAnsi="Source Serif 4"/>
                <w:color w:val="1B1C1E"/>
                <w:sz w:val="22"/>
                <w:szCs w:val="22"/>
              </w:rPr>
              <w:t xml:space="preserve">, and their inversions, applying basic voice-leading principles.</w:t>
            </w:r>
          </w:p>
        </w:tc>
      </w:tr>
      <w:tr>
        <w:tc>
          <w:tcPr>
            <w:tcW w:type="dxa" w:w="620"/>
            <w:tcBorders>
              <w:top w:val="none" w:color="FFFFFF" w:sz="0"/>
              <w:left w:val="none" w:color="FFFFFF" w:sz="0"/>
              <w:bottom w:val="none" w:color="FFFFFF" w:sz="0"/>
              <w:right w:val="none" w:color="FFFFFF" w:sz="0"/>
            </w:tcBorders>
            <w:tcMar>
              <w:top w:type="dxa" w:w="70"/>
              <w:left w:type="dxa" w:w="0"/>
              <w:bottom w:type="dxa" w:w="70"/>
              <w:right w:type="dxa" w:w="60"/>
            </w:tcMar>
            <w:vAlign w:val="top"/>
          </w:tcPr>
          <w:p>
            <w:pPr>
              <w:spacing w:after="0"/>
            </w:pPr>
            <w:r>
              <w:rPr>
                <w:rFonts w:ascii="Courier Prime" w:cs="Courier Prime" w:eastAsia="Courier Prime" w:hAnsi="Courier Prime"/>
                <w:b/>
                <w:bCs/>
                <w:color w:val="6E1F2A"/>
                <w:sz w:val="20"/>
                <w:szCs w:val="20"/>
              </w:rPr>
              <w:t xml:space="preserve">04</w:t>
            </w:r>
          </w:p>
        </w:tc>
        <w:tc>
          <w:tcPr>
            <w:tcW w:type="dxa" w:w="8740"/>
            <w:tcBorders>
              <w:top w:val="none" w:color="FFFFFF" w:sz="0"/>
              <w:left w:val="none" w:color="FFFFFF" w:sz="0"/>
              <w:bottom w:val="none" w:color="FFFFFF" w:sz="0"/>
              <w:right w:val="none" w:color="FFFFFF" w:sz="0"/>
            </w:tcBorders>
            <w:tcMar>
              <w:top w:type="dxa" w:w="70"/>
              <w:left w:type="dxa" w:w="0"/>
              <w:bottom w:type="dxa" w:w="70"/>
              <w:right w:type="dxa" w:w="0"/>
            </w:tcMar>
            <w:vAlign w:val="top"/>
          </w:tcPr>
          <w:p>
            <w:pPr>
              <w:spacing w:after="0" w:line="320"/>
            </w:pPr>
            <w:r>
              <w:rPr>
                <w:rFonts w:ascii="Source Serif 4" w:cs="Source Serif 4" w:eastAsia="Source Serif 4" w:hAnsi="Source Serif 4"/>
                <w:color w:val="1B1C1E"/>
                <w:sz w:val="22"/>
                <w:szCs w:val="22"/>
              </w:rPr>
              <w:t xml:space="preserve">Compose and analyze two-voice counterpoint through fourth species.</w:t>
            </w:r>
          </w:p>
        </w:tc>
      </w:tr>
      <w:tr>
        <w:tc>
          <w:tcPr>
            <w:tcW w:type="dxa" w:w="620"/>
            <w:tcBorders>
              <w:top w:val="none" w:color="FFFFFF" w:sz="0"/>
              <w:left w:val="none" w:color="FFFFFF" w:sz="0"/>
              <w:bottom w:val="none" w:color="FFFFFF" w:sz="0"/>
              <w:right w:val="none" w:color="FFFFFF" w:sz="0"/>
            </w:tcBorders>
            <w:tcMar>
              <w:top w:type="dxa" w:w="70"/>
              <w:left w:type="dxa" w:w="0"/>
              <w:bottom w:type="dxa" w:w="70"/>
              <w:right w:type="dxa" w:w="60"/>
            </w:tcMar>
            <w:vAlign w:val="top"/>
          </w:tcPr>
          <w:p>
            <w:pPr>
              <w:spacing w:after="0"/>
            </w:pPr>
            <w:r>
              <w:rPr>
                <w:rFonts w:ascii="Courier Prime" w:cs="Courier Prime" w:eastAsia="Courier Prime" w:hAnsi="Courier Prime"/>
                <w:b/>
                <w:bCs/>
                <w:color w:val="6E1F2A"/>
                <w:sz w:val="20"/>
                <w:szCs w:val="20"/>
              </w:rPr>
              <w:t xml:space="preserve">05</w:t>
            </w:r>
          </w:p>
        </w:tc>
        <w:tc>
          <w:tcPr>
            <w:tcW w:type="dxa" w:w="8740"/>
            <w:tcBorders>
              <w:top w:val="none" w:color="FFFFFF" w:sz="0"/>
              <w:left w:val="none" w:color="FFFFFF" w:sz="0"/>
              <w:bottom w:val="none" w:color="FFFFFF" w:sz="0"/>
              <w:right w:val="none" w:color="FFFFFF" w:sz="0"/>
            </w:tcBorders>
            <w:tcMar>
              <w:top w:type="dxa" w:w="70"/>
              <w:left w:type="dxa" w:w="0"/>
              <w:bottom w:type="dxa" w:w="70"/>
              <w:right w:type="dxa" w:w="0"/>
            </w:tcMar>
            <w:vAlign w:val="top"/>
          </w:tcPr>
          <w:p>
            <w:pPr>
              <w:spacing w:after="0" w:line="320"/>
            </w:pPr>
            <w:r>
              <w:rPr>
                <w:rFonts w:ascii="Source Serif 4" w:cs="Source Serif 4" w:eastAsia="Source Serif 4" w:hAnsi="Source Serif 4"/>
                <w:color w:val="1B1C1E"/>
                <w:sz w:val="22"/>
                <w:szCs w:val="22"/>
              </w:rPr>
              <w:t xml:space="preserve">Apply theoretical concepts at the keyboard and in performance on the student's primary instrument or voice.</w:t>
            </w:r>
          </w:p>
        </w:tc>
      </w:tr>
    </w:tbl>
    <w:p>
      <w:pPr>
        <w:spacing w:after="130" w:before="300"/>
      </w:pPr>
      <w:r>
        <w:rPr>
          <w:rFonts w:ascii="Courier Prime" w:cs="Courier Prime" w:eastAsia="Courier Prime" w:hAnsi="Courier Prime"/>
          <w:b/>
          <w:bCs/>
          <w:color w:val="6E1F2A"/>
          <w:sz w:val="26"/>
          <w:szCs w:val="26"/>
        </w:rPr>
        <w:t xml:space="preserve">05  </w:t>
      </w:r>
      <w:r>
        <w:rPr>
          <w:rFonts w:ascii="Courier Prime" w:cs="Courier Prime" w:eastAsia="Courier Prime" w:hAnsi="Courier Prime"/>
          <w:b/>
          <w:bCs/>
          <w:color w:val="1B1C1E"/>
          <w:sz w:val="26"/>
          <w:szCs w:val="26"/>
        </w:rPr>
        <w:t xml:space="preserve">learning benchmarks</w:t>
      </w:r>
    </w:p>
    <w:p>
      <w:pPr>
        <w:spacing w:after="160" w:line="330"/>
      </w:pPr>
      <w:r>
        <w:rPr>
          <w:rFonts w:ascii="Source Serif 4" w:cs="Source Serif 4" w:eastAsia="Source Serif 4" w:hAnsi="Source Serif 4"/>
          <w:color w:val="1B1C1E"/>
          <w:sz w:val="22"/>
          <w:szCs w:val="22"/>
        </w:rPr>
        <w:t xml:space="preserve">By the end of the semester, students who have successfully engaged with the course material should be able to demonstrate the following: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vAlign w:val="top"/>
          </w:tcPr>
          <w:p>
            <w:pPr>
              <w:spacing w:after="70"/>
            </w:pPr>
            <w:r>
              <w:rPr>
                <w:rFonts w:ascii="Courier Prime" w:cs="Courier Prime" w:eastAsia="Courier Prime" w:hAnsi="Courier Prime"/>
                <w:color w:val="6E1F2A"/>
                <w:sz w:val="17"/>
                <w:szCs w:val="17"/>
              </w:rPr>
              <w:t xml:space="preserve">theory i</w:t>
            </w:r>
          </w:p>
          <w:p>
            <w:pPr>
              <w:spacing w:after="0" w:line="300"/>
            </w:pPr>
            <w:r>
              <w:rPr>
                <w:rFonts w:ascii="Source Serif 4" w:cs="Source Serif 4" w:eastAsia="Source Serif 4" w:hAnsi="Source Serif 4"/>
                <w:color w:val="1B1C1E"/>
                <w:sz w:val="22"/>
                <w:szCs w:val="22"/>
              </w:rPr>
              <w:t xml:space="preserve">Students can write and identify all triad and seventh chord types, construct SATB progressions using I, V, V</w:t>
            </w:r>
            <w:r>
              <w:rPr>
                <w:rFonts w:ascii="Source Serif 4" w:cs="Source Serif 4" w:eastAsia="Source Serif 4" w:hAnsi="Source Serif 4"/>
                <w:color w:val="1B1C1E"/>
                <w:sz w:val="22"/>
                <w:szCs w:val="22"/>
                <w:vertAlign w:val="superscript"/>
              </w:rPr>
              <w:t xml:space="preserve">7</w:t>
            </w:r>
            <w:r>
              <w:rPr>
                <w:rFonts w:ascii="Source Serif 4" w:cs="Source Serif 4" w:eastAsia="Source Serif 4" w:hAnsi="Source Serif 4"/>
                <w:color w:val="1B1C1E"/>
                <w:sz w:val="22"/>
                <w:szCs w:val="22"/>
              </w:rPr>
              <w:t xml:space="preserve">, I</w:t>
            </w:r>
            <w:r>
              <w:rPr>
                <w:rFonts w:ascii="Source Serif 4" w:cs="Source Serif 4" w:eastAsia="Source Serif 4" w:hAnsi="Source Serif 4"/>
                <w:color w:val="1B1C1E"/>
                <w:sz w:val="22"/>
                <w:szCs w:val="22"/>
                <w:vertAlign w:val="superscript"/>
              </w:rPr>
              <w:t xml:space="preserve">6</w:t>
            </w:r>
            <w:r>
              <w:rPr>
                <w:rFonts w:ascii="Source Serif 4" w:cs="Source Serif 4" w:eastAsia="Source Serif 4" w:hAnsi="Source Serif 4"/>
                <w:color w:val="1B1C1E"/>
                <w:sz w:val="22"/>
                <w:szCs w:val="22"/>
              </w:rPr>
              <w:t xml:space="preserve">, and V</w:t>
            </w:r>
            <w:r>
              <w:rPr>
                <w:rFonts w:ascii="Source Serif 4" w:cs="Source Serif 4" w:eastAsia="Source Serif 4" w:hAnsi="Source Serif 4"/>
                <w:color w:val="1B1C1E"/>
                <w:sz w:val="22"/>
                <w:szCs w:val="22"/>
                <w:vertAlign w:val="superscript"/>
              </w:rPr>
              <w:t xml:space="preserve">6</w:t>
            </w:r>
            <w:r>
              <w:rPr>
                <w:rFonts w:ascii="Source Serif 4" w:cs="Source Serif 4" w:eastAsia="Source Serif 4" w:hAnsi="Source Serif 4"/>
                <w:color w:val="1B1C1E"/>
                <w:sz w:val="22"/>
                <w:szCs w:val="22"/>
              </w:rPr>
              <w:t xml:space="preserve">, apply voice leading principles, write simple two-voice counterpoint through fourth species, and use all inversions of the V</w:t>
            </w:r>
            <w:r>
              <w:rPr>
                <w:rFonts w:ascii="Source Serif 4" w:cs="Source Serif 4" w:eastAsia="Source Serif 4" w:hAnsi="Source Serif 4"/>
                <w:color w:val="1B1C1E"/>
                <w:sz w:val="22"/>
                <w:szCs w:val="22"/>
                <w:vertAlign w:val="superscript"/>
              </w:rPr>
              <w:t xml:space="preserve">7</w:t>
            </w:r>
            <w:r>
              <w:rPr>
                <w:rFonts w:ascii="Source Serif 4" w:cs="Source Serif 4" w:eastAsia="Source Serif 4" w:hAnsi="Source Serif 4"/>
                <w:color w:val="1B1C1E"/>
                <w:sz w:val="22"/>
                <w:szCs w:val="22"/>
              </w:rPr>
              <w:t xml:space="preserve"> chord correctly.</w:t>
            </w:r>
          </w:p>
        </w:tc>
      </w:tr>
    </w:tbl>
    <w:p>
      <w:pPr>
        <w:spacing w:after="130" w:before="300"/>
      </w:pPr>
      <w:r>
        <w:rPr>
          <w:rFonts w:ascii="Courier Prime" w:cs="Courier Prime" w:eastAsia="Courier Prime" w:hAnsi="Courier Prime"/>
          <w:b/>
          <w:bCs/>
          <w:color w:val="6E1F2A"/>
          <w:sz w:val="26"/>
          <w:szCs w:val="26"/>
        </w:rPr>
        <w:t xml:space="preserve">06  </w:t>
      </w:r>
      <w:r>
        <w:rPr>
          <w:rFonts w:ascii="Courier Prime" w:cs="Courier Prime" w:eastAsia="Courier Prime" w:hAnsi="Courier Prime"/>
          <w:b/>
          <w:bCs/>
          <w:color w:val="1B1C1E"/>
          <w:sz w:val="26"/>
          <w:szCs w:val="26"/>
        </w:rPr>
        <w:t xml:space="preserve">expected workload</w:t>
      </w:r>
    </w:p>
    <w:p>
      <w:pPr>
        <w:spacing w:after="160" w:line="330"/>
      </w:pPr>
      <w:r>
        <w:rPr>
          <w:rFonts w:ascii="Source Serif 4" w:cs="Source Serif 4" w:eastAsia="Source Serif 4" w:hAnsi="Source Serif 4"/>
          <w:color w:val="1B1C1E"/>
          <w:sz w:val="22"/>
          <w:szCs w:val="22"/>
        </w:rPr>
        <w:t xml:space="preserve">MUS 111 carries 2 units and is classified as a C10 music activity course. Under the CSU credit hour definition, each unit of credit represents one hour of in-class instruction and a minimum of two hours of out-of-class student work per week. For this course, that means: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80"/>
              <w:bottom w:type="dxa" w:w="120"/>
              <w:right w:type="dxa" w:w="80"/>
            </w:tcMar>
            <w:vAlign w:val="top"/>
          </w:tcPr>
          <w:p>
            <w:pPr>
              <w:spacing w:after="40"/>
              <w:jc w:val="center"/>
            </w:pPr>
            <w:r>
              <w:rPr>
                <w:rFonts w:ascii="Courier Prime" w:cs="Courier Prime" w:eastAsia="Courier Prime" w:hAnsi="Courier Prime"/>
                <w:b/>
                <w:bCs/>
                <w:color w:val="6E1F2A"/>
                <w:sz w:val="36"/>
                <w:szCs w:val="36"/>
              </w:rPr>
              <w:t xml:space="preserve">4</w:t>
            </w:r>
          </w:p>
          <w:p>
            <w:pPr>
              <w:spacing w:after="0"/>
              <w:jc w:val="center"/>
            </w:pPr>
            <w:r>
              <w:rPr>
                <w:rFonts w:ascii="Courier Prime" w:cs="Courier Prime" w:eastAsia="Courier Prime" w:hAnsi="Courier Prime"/>
                <w:color w:val="5E6166"/>
                <w:sz w:val="16"/>
                <w:szCs w:val="16"/>
              </w:rPr>
              <w:t xml:space="preserve">contact hours per week  (two 100-min meetings)</w:t>
            </w:r>
          </w:p>
        </w:tc>
        <w:tc>
          <w:tcPr>
            <w:tcW w:type="dxa" w:w="4680"/>
            <w:tcBorders>
              <w:top w:val="none" w:color="FFFFFF" w:sz="0"/>
              <w:left w:val="none" w:color="FFFFFF" w:sz="0"/>
              <w:bottom w:val="none" w:color="FFFFFF" w:sz="0"/>
              <w:right w:val="none" w:color="FFFFFF" w:sz="0"/>
            </w:tcBorders>
            <w:tcMar>
              <w:top w:type="dxa" w:w="120"/>
              <w:left w:type="dxa" w:w="80"/>
              <w:bottom w:type="dxa" w:w="120"/>
              <w:right w:type="dxa" w:w="80"/>
            </w:tcMar>
            <w:vAlign w:val="top"/>
          </w:tcPr>
          <w:p>
            <w:pPr>
              <w:spacing w:after="40"/>
              <w:jc w:val="center"/>
            </w:pPr>
            <w:r>
              <w:rPr>
                <w:rFonts w:ascii="Courier Prime" w:cs="Courier Prime" w:eastAsia="Courier Prime" w:hAnsi="Courier Prime"/>
                <w:b/>
                <w:bCs/>
                <w:color w:val="6E1F2A"/>
                <w:sz w:val="36"/>
                <w:szCs w:val="36"/>
              </w:rPr>
              <w:t xml:space="preserve">4+</w:t>
            </w:r>
          </w:p>
          <w:p>
            <w:pPr>
              <w:spacing w:after="0"/>
              <w:jc w:val="center"/>
            </w:pPr>
            <w:r>
              <w:rPr>
                <w:rFonts w:ascii="Courier Prime" w:cs="Courier Prime" w:eastAsia="Courier Prime" w:hAnsi="Courier Prime"/>
                <w:color w:val="5E6166"/>
                <w:sz w:val="16"/>
                <w:szCs w:val="16"/>
              </w:rPr>
              <w:t xml:space="preserve">out-of-class hours per week  (minimum)</w:t>
            </w:r>
          </w:p>
        </w:tc>
      </w:tr>
    </w:tbl>
    <w:p>
      <w:pPr>
        <w:spacing w:after="160"/>
      </w:pPr>
    </w:p>
    <w:p>
      <w:pPr>
        <w:spacing w:after="80" w:line="330"/>
      </w:pPr>
      <w:r>
        <w:rPr>
          <w:rFonts w:ascii="Courier Prime" w:cs="Courier Prime" w:eastAsia="Courier Prime" w:hAnsi="Courier Prime"/>
          <w:b/>
          <w:bCs/>
          <w:color w:val="1B1C1E"/>
          <w:sz w:val="20"/>
          <w:szCs w:val="20"/>
        </w:rPr>
        <w:t xml:space="preserve">making the time work</w:t>
      </w:r>
    </w:p>
    <w:p>
      <w:pPr>
        <w:spacing w:after="160" w:line="330"/>
      </w:pPr>
      <w:r>
        <w:rPr>
          <w:rFonts w:ascii="Source Serif 4" w:cs="Source Serif 4" w:eastAsia="Source Serif 4" w:hAnsi="Source Serif 4"/>
          <w:color w:val="1B1C1E"/>
          <w:sz w:val="22"/>
          <w:szCs w:val="22"/>
        </w:rPr>
        <w:t xml:space="preserve">This course is classified as an activity course for a reason. Class time is not a lecture you can passively receive: it is structured around writing, analyzing, and working through problems in the room with your classmates. You will be at the desk or the keyboard most days, and much of what you take away from a given class comes from the work you do during it. Show up prepared, and show up ready to engage.</w:t>
      </w:r>
    </w:p>
    <w:p>
      <w:pPr>
        <w:spacing w:after="160" w:line="330"/>
      </w:pPr>
      <w:r>
        <w:rPr>
          <w:rFonts w:ascii="Source Serif 4" w:cs="Source Serif 4" w:eastAsia="Source Serif 4" w:hAnsi="Source Serif 4"/>
          <w:color w:val="1B1C1E"/>
          <w:sz w:val="22"/>
          <w:szCs w:val="22"/>
        </w:rPr>
        <w:t xml:space="preserve">More importantly, you are taking three courses concurrently (Theory, Aural Skills, and Keyboard), and the combined out-of-class load across the three is substantial. Plan for it.</w:t>
      </w:r>
    </w:p>
    <w:p>
      <w:pPr>
        <w:spacing w:after="160" w:line="330"/>
      </w:pPr>
      <w:r>
        <w:rPr>
          <w:rFonts w:ascii="Source Serif 4" w:cs="Source Serif 4" w:eastAsia="Source Serif 4" w:hAnsi="Source Serif 4"/>
          <w:color w:val="1B1C1E"/>
          <w:sz w:val="22"/>
          <w:szCs w:val="22"/>
        </w:rPr>
        <w:t xml:space="preserve">One schedule that works well is roughly two hours a day, Monday through Thursday, split between the three courses. Daily short sessions will outperform occasional long ones in every one of these courses. Use the practice rooms. See the </w:t>
      </w:r>
      <w:r>
        <w:rPr>
          <w:rFonts w:ascii="Source Serif 4" w:cs="Source Serif 4" w:eastAsia="Source Serif 4" w:hAnsi="Source Serif 4"/>
          <w:color w:val="6E1F2A"/>
          <w:sz w:val="22"/>
          <w:szCs w:val="22"/>
        </w:rPr>
        <w:t xml:space="preserve">Music Department facilities page</w:t>
      </w:r>
      <w:r>
        <w:rPr>
          <w:rFonts w:ascii="Source Serif 4" w:cs="Source Serif 4" w:eastAsia="Source Serif 4" w:hAnsi="Source Serif 4"/>
          <w:color w:val="1B1C1E"/>
          <w:sz w:val="22"/>
          <w:szCs w:val="22"/>
        </w:rPr>
        <w:t xml:space="preserve"> for access and hours.</w:t>
      </w:r>
    </w:p>
    <w:p>
      <w:pPr>
        <w:spacing w:after="130" w:before="300"/>
      </w:pPr>
      <w:r>
        <w:rPr>
          <w:rFonts w:ascii="Courier Prime" w:cs="Courier Prime" w:eastAsia="Courier Prime" w:hAnsi="Courier Prime"/>
          <w:b/>
          <w:bCs/>
          <w:color w:val="6E1F2A"/>
          <w:sz w:val="26"/>
          <w:szCs w:val="26"/>
        </w:rPr>
        <w:t xml:space="preserve">07  </w:t>
      </w:r>
      <w:r>
        <w:rPr>
          <w:rFonts w:ascii="Courier Prime" w:cs="Courier Prime" w:eastAsia="Courier Prime" w:hAnsi="Courier Prime"/>
          <w:b/>
          <w:bCs/>
          <w:color w:val="1B1C1E"/>
          <w:sz w:val="26"/>
          <w:szCs w:val="26"/>
        </w:rPr>
        <w:t xml:space="preserve">course materials</w:t>
      </w:r>
    </w:p>
    <w:p>
      <w:pPr>
        <w:spacing w:after="160" w:line="330"/>
      </w:pPr>
      <w:r>
        <w:rPr>
          <w:rFonts w:ascii="Source Serif 4" w:cs="Source Serif 4" w:eastAsia="Source Serif 4" w:hAnsi="Source Serif 4"/>
          <w:b/>
          <w:bCs/>
          <w:color w:val="1B1C1E"/>
          <w:sz w:val="22"/>
          <w:szCs w:val="22"/>
        </w:rPr>
        <w:t xml:space="preserve">Required texts. </w:t>
      </w:r>
      <w:r>
        <w:rPr>
          <w:rFonts w:ascii="Source Serif 4" w:cs="Source Serif 4" w:eastAsia="Source Serif 4" w:hAnsi="Source Serif 4"/>
          <w:color w:val="1B1C1E"/>
          <w:sz w:val="22"/>
          <w:szCs w:val="22"/>
        </w:rPr>
        <w:t xml:space="preserve">Physical copies are strongly recommended for all texts in this sequence. The Burstein and Straus text is used across Theory I, II, and III; purchase it once and keep it.</w:t>
      </w:r>
    </w:p>
    <w:p>
      <w:pPr>
        <w:spacing w:after="120" w:line="330"/>
      </w:pPr>
      <w:r>
        <w:rPr>
          <w:rFonts w:ascii="Source Serif 4" w:cs="Source Serif 4" w:eastAsia="Source Serif 4" w:hAnsi="Source Serif 4"/>
          <w:b/>
          <w:bCs/>
          <w:color w:val="1B1C1E"/>
          <w:sz w:val="22"/>
          <w:szCs w:val="22"/>
        </w:rPr>
        <w:t xml:space="preserve">Concise Introduction to Tonal Harmony, 3rd edition. </w:t>
      </w:r>
      <w:r>
        <w:rPr>
          <w:rFonts w:ascii="Source Serif 4" w:cs="Source Serif 4" w:eastAsia="Source Serif 4" w:hAnsi="Source Serif 4"/>
          <w:color w:val="1B1C1E"/>
          <w:sz w:val="22"/>
          <w:szCs w:val="22"/>
        </w:rPr>
        <w:t xml:space="preserve">L. Poundie Burstein and Joseph N. Straus, W. W. Norton &amp; Company. </w:t>
      </w:r>
      <w:r>
        <w:rPr>
          <w:rFonts w:ascii="Courier Prime" w:cs="Courier Prime" w:eastAsia="Courier Prime" w:hAnsi="Courier Prime"/>
          <w:color w:val="5E6166"/>
          <w:sz w:val="18"/>
          <w:szCs w:val="18"/>
        </w:rPr>
        <w:t xml:space="preserve">Hardcover ISBN 978-1-324-10073-7</w:t>
      </w:r>
      <w:r>
        <w:rPr>
          <w:rFonts w:ascii="Source Serif 4" w:cs="Source Serif 4" w:eastAsia="Source Serif 4" w:hAnsi="Source Serif 4"/>
          <w:color w:val="1B1C1E"/>
          <w:sz w:val="22"/>
          <w:szCs w:val="22"/>
        </w:rPr>
        <w:t xml:space="preserve">  Primary text. Chapters 1–12 are covered in this course.</w:t>
      </w:r>
    </w:p>
    <w:p>
      <w:pPr>
        <w:spacing w:after="160" w:line="330"/>
      </w:pPr>
      <w:r>
        <w:rPr>
          <w:rFonts w:ascii="Source Serif 4" w:cs="Source Serif 4" w:eastAsia="Source Serif 4" w:hAnsi="Source Serif 4"/>
          <w:b/>
          <w:bCs/>
          <w:color w:val="1B1C1E"/>
          <w:sz w:val="22"/>
          <w:szCs w:val="22"/>
        </w:rPr>
        <w:t xml:space="preserve">Concise Introduction to Tonal Harmony Workbook, 3rd edition. </w:t>
      </w:r>
      <w:r>
        <w:rPr>
          <w:rFonts w:ascii="Source Serif 4" w:cs="Source Serif 4" w:eastAsia="Source Serif 4" w:hAnsi="Source Serif 4"/>
          <w:color w:val="1B1C1E"/>
          <w:sz w:val="22"/>
          <w:szCs w:val="22"/>
        </w:rPr>
        <w:t xml:space="preserve">Burstein and Straus, W. W. Norton &amp; Company. </w:t>
      </w:r>
      <w:r>
        <w:rPr>
          <w:rFonts w:ascii="Courier Prime" w:cs="Courier Prime" w:eastAsia="Courier Prime" w:hAnsi="Courier Prime"/>
          <w:color w:val="5E6166"/>
          <w:sz w:val="18"/>
          <w:szCs w:val="18"/>
        </w:rPr>
        <w:t xml:space="preserve">Softcover ISBN 978-1-324-08808-0</w:t>
      </w:r>
      <w:r>
        <w:rPr>
          <w:rFonts w:ascii="Source Serif 4" w:cs="Source Serif 4" w:eastAsia="Source Serif 4" w:hAnsi="Source Serif 4"/>
          <w:color w:val="1B1C1E"/>
          <w:sz w:val="22"/>
          <w:szCs w:val="22"/>
        </w:rPr>
        <w:t xml:space="preserve">  Workbook exercises are a required component of lesson assignments.</w:t>
      </w:r>
    </w:p>
    <w:p>
      <w:pPr>
        <w:spacing w:after="160" w:line="330"/>
      </w:pPr>
      <w:r>
        <w:rPr>
          <w:rFonts w:ascii="Source Serif 4" w:cs="Source Serif 4" w:eastAsia="Source Serif 4" w:hAnsi="Source Serif 4"/>
          <w:b/>
          <w:bCs/>
          <w:color w:val="1B1C1E"/>
          <w:sz w:val="22"/>
          <w:szCs w:val="22"/>
        </w:rPr>
        <w:t xml:space="preserve">Other materials. </w:t>
      </w:r>
      <w:r>
        <w:rPr>
          <w:rFonts w:ascii="Source Serif 4" w:cs="Source Serif 4" w:eastAsia="Source Serif 4" w:hAnsi="Source Serif 4"/>
          <w:color w:val="1B1C1E"/>
          <w:sz w:val="22"/>
          <w:szCs w:val="22"/>
        </w:rPr>
        <w:t xml:space="preserve">Manuscript paper and pencils with erasers for all written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vAlign w:val="top"/>
          </w:tcPr>
          <w:p>
            <w:pPr>
              <w:spacing w:after="70"/>
            </w:pPr>
            <w:r>
              <w:rPr>
                <w:rFonts w:ascii="Courier Prime" w:cs="Courier Prime" w:eastAsia="Courier Prime" w:hAnsi="Courier Prime"/>
                <w:color w:val="6E1F2A"/>
                <w:sz w:val="17"/>
                <w:szCs w:val="17"/>
              </w:rPr>
              <w:t xml:space="preserve">stay organized</w:t>
            </w:r>
          </w:p>
          <w:p>
            <w:pPr>
              <w:spacing w:after="0" w:line="300"/>
            </w:pPr>
            <w:r>
              <w:rPr>
                <w:rFonts w:ascii="Source Serif 4" w:cs="Source Serif 4" w:eastAsia="Source Serif 4" w:hAnsi="Source Serif 4"/>
                <w:color w:val="1B1C1E"/>
                <w:sz w:val="22"/>
                <w:szCs w:val="22"/>
              </w:rPr>
              <w:t xml:space="preserve">This course generates a lot of paper. You will receive handouts, in-class exercises, and graded assignments almost every week, and the material is strictly cumulative: what you learn in week 3 is still in play in week 12. A folder or binder dedicated to this course is not optional in spirit, even if it is in practice. Keep handouts in chronological order, annotate exercises when they are returned (your errors are a study guide), and review your notes before each class rather than only before exams. The students who do well are the ones who keep their materials organized and return to them regularly.</w:t>
            </w:r>
          </w:p>
        </w:tc>
      </w:tr>
    </w:tbl>
    <w:p>
      <w:pPr>
        <w:spacing w:after="160" w:line="330"/>
      </w:pPr>
      <w:r>
        <w:rPr>
          <w:rFonts w:ascii="Source Serif 4" w:cs="Source Serif 4" w:eastAsia="Source Serif 4" w:hAnsi="Source Serif 4"/>
          <w:b/>
          <w:bCs/>
          <w:color w:val="1B1C1E"/>
          <w:sz w:val="22"/>
          <w:szCs w:val="22"/>
        </w:rPr>
        <w:t xml:space="preserve">Technology. </w:t>
      </w:r>
      <w:r>
        <w:rPr>
          <w:rFonts w:ascii="Source Serif 4" w:cs="Source Serif 4" w:eastAsia="Source Serif 4" w:hAnsi="Source Serif 4"/>
          <w:color w:val="1B1C1E"/>
          <w:sz w:val="22"/>
          <w:szCs w:val="22"/>
        </w:rPr>
        <w:t xml:space="preserve">Canvas for all course materials and grade tracking. </w:t>
      </w:r>
      <w:r>
        <w:rPr>
          <w:rFonts w:ascii="Source Serif 4" w:cs="Source Serif 4" w:eastAsia="Source Serif 4" w:hAnsi="Source Serif 4"/>
          <w:color w:val="6E1F2A"/>
          <w:sz w:val="22"/>
          <w:szCs w:val="22"/>
        </w:rPr>
        <w:t xml:space="preserve">MuseScore</w:t>
      </w:r>
      <w:r>
        <w:rPr>
          <w:rFonts w:ascii="Source Serif 4" w:cs="Source Serif 4" w:eastAsia="Source Serif 4" w:hAnsi="Source Serif 4"/>
          <w:color w:val="1B1C1E"/>
          <w:sz w:val="22"/>
          <w:szCs w:val="22"/>
        </w:rPr>
        <w:t xml:space="preserve"> (free) is available for optional digital notation work. </w:t>
      </w:r>
      <w:r>
        <w:rPr>
          <w:rFonts w:ascii="Source Serif 4" w:cs="Source Serif 4" w:eastAsia="Source Serif 4" w:hAnsi="Source Serif 4"/>
          <w:color w:val="6E1F2A"/>
          <w:sz w:val="22"/>
          <w:szCs w:val="22"/>
        </w:rPr>
        <w:t xml:space="preserve">Auralia</w:t>
      </w:r>
      <w:r>
        <w:rPr>
          <w:rFonts w:ascii="Source Serif 4" w:cs="Source Serif 4" w:eastAsia="Source Serif 4" w:hAnsi="Source Serif 4"/>
          <w:color w:val="1B1C1E"/>
          <w:sz w:val="22"/>
          <w:szCs w:val="22"/>
        </w:rPr>
        <w:t xml:space="preserve"> ear training software is used in the co-requisite MUS 115; the instructor will provide an access code at the start of the semester.</w:t>
      </w:r>
    </w:p>
    <w:p>
      <w:pPr>
        <w:spacing w:after="130" w:before="300"/>
      </w:pPr>
      <w:r>
        <w:rPr>
          <w:rFonts w:ascii="Courier Prime" w:cs="Courier Prime" w:eastAsia="Courier Prime" w:hAnsi="Courier Prime"/>
          <w:b/>
          <w:bCs/>
          <w:color w:val="6E1F2A"/>
          <w:sz w:val="26"/>
          <w:szCs w:val="26"/>
        </w:rPr>
        <w:t xml:space="preserve">08  </w:t>
      </w:r>
      <w:r>
        <w:rPr>
          <w:rFonts w:ascii="Courier Prime" w:cs="Courier Prime" w:eastAsia="Courier Prime" w:hAnsi="Courier Prime"/>
          <w:b/>
          <w:bCs/>
          <w:color w:val="1B1C1E"/>
          <w:sz w:val="26"/>
          <w:szCs w:val="26"/>
        </w:rPr>
        <w:t xml:space="preserve">course requirements</w:t>
      </w:r>
    </w:p>
    <w:p>
      <w:pPr>
        <w:spacing w:after="160" w:line="330"/>
      </w:pPr>
      <w:r>
        <w:rPr>
          <w:rFonts w:ascii="Source Serif 4" w:cs="Source Serif 4" w:eastAsia="Source Serif 4" w:hAnsi="Source Serif 4"/>
          <w:color w:val="1B1C1E"/>
          <w:sz w:val="22"/>
          <w:szCs w:val="22"/>
        </w:rPr>
        <w:t xml:space="preserve">This course has four categories of graded work:</w:t>
      </w:r>
    </w:p>
    <w:p>
      <w:pPr>
        <w:spacing w:after="160" w:line="330"/>
      </w:pPr>
      <w:r>
        <w:rPr>
          <w:rFonts w:ascii="Source Serif 4" w:cs="Source Serif 4" w:eastAsia="Source Serif 4" w:hAnsi="Source Serif 4"/>
          <w:b/>
          <w:bCs/>
          <w:color w:val="1B1C1E"/>
          <w:sz w:val="22"/>
          <w:szCs w:val="22"/>
        </w:rPr>
        <w:t xml:space="preserve">Lesson Exercises (40%). </w:t>
      </w:r>
      <w:r>
        <w:rPr>
          <w:rFonts w:ascii="Source Serif 4" w:cs="Source Serif 4" w:eastAsia="Source Serif 4" w:hAnsi="Source Serif 4"/>
          <w:color w:val="1B1C1E"/>
          <w:sz w:val="22"/>
          <w:szCs w:val="22"/>
        </w:rPr>
        <w:t xml:space="preserve">Weekly written assignments from the Burstein and Straus workbook and supplementary materials, graded for completion, accuracy, and application of voice-leading principles. These are the core of the course's skill-building work.</w:t>
      </w:r>
    </w:p>
    <w:p>
      <w:pPr>
        <w:spacing w:after="160" w:line="330"/>
      </w:pPr>
      <w:r>
        <w:rPr>
          <w:rFonts w:ascii="Source Serif 4" w:cs="Source Serif 4" w:eastAsia="Source Serif 4" w:hAnsi="Source Serif 4"/>
          <w:b/>
          <w:bCs/>
          <w:color w:val="1B1C1E"/>
          <w:sz w:val="22"/>
          <w:szCs w:val="22"/>
        </w:rPr>
        <w:t xml:space="preserve">Group Quizzes (25%). </w:t>
      </w:r>
      <w:r>
        <w:rPr>
          <w:rFonts w:ascii="Source Serif 4" w:cs="Source Serif 4" w:eastAsia="Source Serif 4" w:hAnsi="Source Serif 4"/>
          <w:color w:val="1B1C1E"/>
          <w:sz w:val="22"/>
          <w:szCs w:val="22"/>
        </w:rPr>
        <w:t xml:space="preserve">Short in-class group quizzes testing vocabulary, chord identification, and part-writing skills. Students work in groups of two or three, troubleshooting the material together rather than individually. The group format asks you to externalize your reasoning, catch each other's errors, and build the habit of talking through theory with peers, which is how theory actually gets used in rehearsals, coachings, and score study. Quizzes are cumulative and cannot be made up if missed without a documented excuse.</w:t>
      </w:r>
    </w:p>
    <w:p>
      <w:pPr>
        <w:spacing w:after="160" w:line="330"/>
      </w:pPr>
      <w:r>
        <w:rPr>
          <w:rFonts w:ascii="Source Serif 4" w:cs="Source Serif 4" w:eastAsia="Source Serif 4" w:hAnsi="Source Serif 4"/>
          <w:b/>
          <w:bCs/>
          <w:color w:val="1B1C1E"/>
          <w:sz w:val="22"/>
          <w:szCs w:val="22"/>
        </w:rPr>
        <w:t xml:space="preserve">Midterm Exam (15%). </w:t>
      </w:r>
      <w:r>
        <w:rPr>
          <w:rFonts w:ascii="Source Serif 4" w:cs="Source Serif 4" w:eastAsia="Source Serif 4" w:hAnsi="Source Serif 4"/>
          <w:color w:val="1B1C1E"/>
          <w:sz w:val="22"/>
          <w:szCs w:val="22"/>
        </w:rPr>
        <w:t xml:space="preserve">A written exam covering the first half of the course (Chapters 1–7), including chord construction, SATB part-writing, and analysis. Held during Week 8.</w:t>
      </w:r>
    </w:p>
    <w:p>
      <w:pPr>
        <w:spacing w:after="160" w:line="330"/>
      </w:pPr>
      <w:r>
        <w:rPr>
          <w:rFonts w:ascii="Source Serif 4" w:cs="Source Serif 4" w:eastAsia="Source Serif 4" w:hAnsi="Source Serif 4"/>
          <w:b/>
          <w:bCs/>
          <w:color w:val="1B1C1E"/>
          <w:sz w:val="22"/>
          <w:szCs w:val="22"/>
        </w:rPr>
        <w:t xml:space="preserve">Final Exam (20%). </w:t>
      </w:r>
      <w:r>
        <w:rPr>
          <w:rFonts w:ascii="Source Serif 4" w:cs="Source Serif 4" w:eastAsia="Source Serif 4" w:hAnsi="Source Serif 4"/>
          <w:color w:val="1B1C1E"/>
          <w:sz w:val="22"/>
          <w:szCs w:val="22"/>
        </w:rPr>
        <w:t xml:space="preserve">A cumulative written exam covering all material from the semester. Held during finals week (Week 16).</w:t>
      </w:r>
    </w:p>
    <w:p>
      <w:pPr>
        <w:spacing w:after="130" w:before="300"/>
      </w:pPr>
      <w:r>
        <w:rPr>
          <w:rFonts w:ascii="Courier Prime" w:cs="Courier Prime" w:eastAsia="Courier Prime" w:hAnsi="Courier Prime"/>
          <w:b/>
          <w:bCs/>
          <w:color w:val="6E1F2A"/>
          <w:sz w:val="26"/>
          <w:szCs w:val="26"/>
        </w:rPr>
        <w:t xml:space="preserve">09  </w:t>
      </w:r>
      <w:r>
        <w:rPr>
          <w:rFonts w:ascii="Courier Prime" w:cs="Courier Prime" w:eastAsia="Courier Prime" w:hAnsi="Courier Prime"/>
          <w:b/>
          <w:bCs/>
          <w:color w:val="1B1C1E"/>
          <w:sz w:val="26"/>
          <w:szCs w:val="26"/>
        </w:rPr>
        <w:t xml:space="preserve">grading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160"/>
        <w:gridCol w:w="2200"/>
      </w:tblGrid>
      <w:tr>
        <w:tc>
          <w:tcPr>
            <w:tcW w:type="dxa" w:w="716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component</w:t>
            </w:r>
          </w:p>
        </w:tc>
        <w:tc>
          <w:tcPr>
            <w:tcW w:type="dxa" w:w="22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jc w:val="right"/>
            </w:pPr>
            <w:r>
              <w:rPr>
                <w:rFonts w:ascii="Courier Prime" w:cs="Courier Prime" w:eastAsia="Courier Prime" w:hAnsi="Courier Prime"/>
                <w:color w:val="5E6166"/>
                <w:sz w:val="18"/>
                <w:szCs w:val="18"/>
              </w:rPr>
              <w:t xml:space="preserve">weight</w:t>
            </w:r>
          </w:p>
        </w:tc>
      </w:tr>
      <w:tr>
        <w:tc>
          <w:tcPr>
            <w:tcW w:type="dxa" w:w="7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Lesson Exercises</w:t>
            </w:r>
          </w:p>
        </w:tc>
        <w:tc>
          <w:tcPr>
            <w:tcW w:type="dxa" w:w="22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20"/>
                <w:szCs w:val="20"/>
              </w:rPr>
              <w:t xml:space="preserve">40%</w:t>
            </w:r>
          </w:p>
        </w:tc>
      </w:tr>
      <w:tr>
        <w:tc>
          <w:tcPr>
            <w:tcW w:type="dxa" w:w="7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Group Quizzes</w:t>
            </w:r>
          </w:p>
        </w:tc>
        <w:tc>
          <w:tcPr>
            <w:tcW w:type="dxa" w:w="22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20"/>
                <w:szCs w:val="20"/>
              </w:rPr>
              <w:t xml:space="preserve">25%</w:t>
            </w:r>
          </w:p>
        </w:tc>
      </w:tr>
      <w:tr>
        <w:tc>
          <w:tcPr>
            <w:tcW w:type="dxa" w:w="7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Midterm Exam</w:t>
            </w:r>
          </w:p>
        </w:tc>
        <w:tc>
          <w:tcPr>
            <w:tcW w:type="dxa" w:w="22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20"/>
                <w:szCs w:val="20"/>
              </w:rPr>
              <w:t xml:space="preserve">15%</w:t>
            </w:r>
          </w:p>
        </w:tc>
      </w:tr>
      <w:tr>
        <w:tc>
          <w:tcPr>
            <w:tcW w:type="dxa" w:w="7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Final Exam</w:t>
            </w:r>
          </w:p>
        </w:tc>
        <w:tc>
          <w:tcPr>
            <w:tcW w:type="dxa" w:w="22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20"/>
                <w:szCs w:val="20"/>
              </w:rPr>
              <w:t xml:space="preserve">20%</w:t>
            </w:r>
          </w:p>
        </w:tc>
      </w:tr>
      <w:tr>
        <w:tc>
          <w:tcPr>
            <w:tcW w:type="dxa" w:w="716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b/>
                <w:bCs/>
                <w:color w:val="1B1C1E"/>
                <w:sz w:val="22"/>
                <w:szCs w:val="22"/>
              </w:rPr>
              <w:t xml:space="preserve">Total</w:t>
            </w:r>
          </w:p>
        </w:tc>
        <w:tc>
          <w:tcPr>
            <w:tcW w:type="dxa" w:w="22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b/>
                <w:bCs/>
                <w:color w:val="1B1C1E"/>
                <w:sz w:val="20"/>
                <w:szCs w:val="20"/>
              </w:rPr>
              <w:t xml:space="preserve">100%</w:t>
            </w:r>
          </w:p>
        </w:tc>
      </w:tr>
    </w:tbl>
    <w:p>
      <w:pPr>
        <w:spacing w:after="200"/>
      </w:pPr>
    </w:p>
    <w:p>
      <w:pPr>
        <w:spacing w:after="160" w:line="330"/>
      </w:pPr>
      <w:r>
        <w:rPr>
          <w:rFonts w:ascii="Source Serif 4" w:cs="Source Serif 4" w:eastAsia="Source Serif 4" w:hAnsi="Source Serif 4"/>
          <w:b/>
          <w:bCs/>
          <w:color w:val="1B1C1E"/>
          <w:sz w:val="22"/>
          <w:szCs w:val="22"/>
        </w:rPr>
        <w:t xml:space="preserve">Individual assignment rubric (0–4 scale). </w:t>
      </w:r>
      <w:r>
        <w:rPr>
          <w:rFonts w:ascii="Source Serif 4" w:cs="Source Serif 4" w:eastAsia="Source Serif 4" w:hAnsi="Source Serif 4"/>
          <w:color w:val="1B1C1E"/>
          <w:sz w:val="22"/>
          <w:szCs w:val="22"/>
        </w:rPr>
        <w:t xml:space="preserve">All lesson exercises, group quizzes, and exams are evaluated on a 0–4 scale.</w:t>
      </w:r>
    </w:p>
    <w:tbl>
      <w:tblPr>
        <w:tblW w:type="dxa" w:w="9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1900"/>
        <w:gridCol w:w="6360"/>
      </w:tblGrid>
      <w:tr>
        <w:tc>
          <w:tcPr>
            <w:tcW w:type="dxa" w:w="9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score</w:t>
            </w:r>
          </w:p>
        </w:tc>
        <w:tc>
          <w:tcPr>
            <w:tcW w:type="dxa" w:w="19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level</w:t>
            </w:r>
          </w:p>
        </w:tc>
        <w:tc>
          <w:tcPr>
            <w:tcW w:type="dxa" w:w="636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description</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20"/>
                <w:szCs w:val="20"/>
              </w:rPr>
              <w:t xml:space="preserve">4</w:t>
            </w:r>
          </w:p>
        </w:tc>
        <w:tc>
          <w:tcPr>
            <w:tcW w:type="dxa" w:w="1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8"/>
                <w:szCs w:val="18"/>
              </w:rPr>
              <w:t xml:space="preserve">outstanding</w:t>
            </w:r>
          </w:p>
        </w:tc>
        <w:tc>
          <w:tcPr>
            <w:tcW w:type="dxa" w:w="63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Rare. The finest representation of the work: complete and fully correct, with accurate spelling and voice leading, correct notation and terminology, sound analysis, and clear, confident presentation.</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20"/>
                <w:szCs w:val="20"/>
              </w:rPr>
              <w:t xml:space="preserve">3</w:t>
            </w:r>
          </w:p>
        </w:tc>
        <w:tc>
          <w:tcPr>
            <w:tcW w:type="dxa" w:w="1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8"/>
                <w:szCs w:val="18"/>
              </w:rPr>
              <w:t xml:space="preserve">very good</w:t>
            </w:r>
          </w:p>
        </w:tc>
        <w:tc>
          <w:tcPr>
            <w:tcW w:type="dxa" w:w="63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Clear mastery of the material in precise form. Above-average work with minimal errors.</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20"/>
                <w:szCs w:val="20"/>
              </w:rPr>
              <w:t xml:space="preserve">2</w:t>
            </w:r>
          </w:p>
        </w:tc>
        <w:tc>
          <w:tcPr>
            <w:tcW w:type="dxa" w:w="1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8"/>
                <w:szCs w:val="18"/>
              </w:rPr>
              <w:t xml:space="preserve">below average</w:t>
            </w:r>
          </w:p>
        </w:tc>
        <w:tc>
          <w:tcPr>
            <w:tcW w:type="dxa" w:w="63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The material has been learned but needs more thought and preparation. Not yet at a passing level of execution.</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20"/>
                <w:szCs w:val="20"/>
              </w:rPr>
              <w:t xml:space="preserve">1</w:t>
            </w:r>
          </w:p>
        </w:tc>
        <w:tc>
          <w:tcPr>
            <w:tcW w:type="dxa" w:w="1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8"/>
                <w:szCs w:val="18"/>
              </w:rPr>
              <w:t xml:space="preserve">unacceptable</w:t>
            </w:r>
          </w:p>
        </w:tc>
        <w:tc>
          <w:tcPr>
            <w:tcW w:type="dxa" w:w="63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Demonstrates less than the required effort and only minimal understanding of the material.</w:t>
            </w:r>
          </w:p>
        </w:tc>
      </w:tr>
      <w:tr>
        <w:tc>
          <w:tcPr>
            <w:tcW w:type="dxa" w:w="9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20"/>
                <w:szCs w:val="20"/>
              </w:rPr>
              <w:t xml:space="preserve">0</w:t>
            </w:r>
          </w:p>
        </w:tc>
        <w:tc>
          <w:tcPr>
            <w:tcW w:type="dxa" w:w="19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8"/>
                <w:szCs w:val="18"/>
              </w:rPr>
              <w:t xml:space="preserve">not submitted</w:t>
            </w:r>
          </w:p>
        </w:tc>
        <w:tc>
          <w:tcPr>
            <w:tcW w:type="dxa" w:w="636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No submission, or work that does not engage with the assignment.</w:t>
            </w:r>
          </w:p>
        </w:tc>
      </w:tr>
    </w:tbl>
    <w:p>
      <w:pPr>
        <w:spacing w:after="200"/>
      </w:pPr>
    </w:p>
    <w:p>
      <w:pPr>
        <w:spacing w:after="160" w:line="330"/>
      </w:pPr>
      <w:r>
        <w:rPr>
          <w:rFonts w:ascii="Source Serif 4" w:cs="Source Serif 4" w:eastAsia="Source Serif 4" w:hAnsi="Source Serif 4"/>
          <w:b/>
          <w:bCs/>
          <w:color w:val="1B1C1E"/>
          <w:sz w:val="22"/>
          <w:szCs w:val="22"/>
        </w:rPr>
        <w:t xml:space="preserve">Grading criteria for written work. </w:t>
      </w:r>
      <w:r>
        <w:rPr>
          <w:rFonts w:ascii="Source Serif 4" w:cs="Source Serif 4" w:eastAsia="Source Serif 4" w:hAnsi="Source Serif 4"/>
          <w:color w:val="1B1C1E"/>
          <w:sz w:val="22"/>
          <w:szCs w:val="22"/>
        </w:rPr>
        <w:t xml:space="preserve">Correct spelling of intervals, scales, and chords; accurate voice leading; correct Roman numerals, figured bass, and analytical labels; complete and legible notation; correct terminology; clarity and organization of the response.</w:t>
      </w:r>
    </w:p>
    <w:p>
      <w:pPr>
        <w:spacing w:after="160" w:line="330"/>
      </w:pPr>
      <w:r>
        <w:rPr>
          <w:rFonts w:ascii="Source Serif 4" w:cs="Source Serif 4" w:eastAsia="Source Serif 4" w:hAnsi="Source Serif 4"/>
          <w:b/>
          <w:bCs/>
          <w:color w:val="1B1C1E"/>
          <w:sz w:val="22"/>
          <w:szCs w:val="22"/>
        </w:rPr>
        <w:t xml:space="preserve">Course grade scale. </w:t>
      </w:r>
      <w:r>
        <w:rPr>
          <w:rFonts w:ascii="Source Serif 4" w:cs="Source Serif 4" w:eastAsia="Source Serif 4" w:hAnsi="Source Serif 4"/>
          <w:color w:val="1B1C1E"/>
          <w:sz w:val="22"/>
          <w:szCs w:val="22"/>
        </w:rPr>
        <w:t xml:space="preserve">Because all assignments are scored on the 0–4 scale, course grades are calculated from the weighted average of those scores and converted to letter grades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160"/>
      </w:tblGrid>
      <w:tr>
        <w:tc>
          <w:tcPr>
            <w:tcW w:type="dxa" w:w="24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grade</w:t>
            </w:r>
          </w:p>
        </w:tc>
        <w:tc>
          <w:tcPr>
            <w:tcW w:type="dxa" w:w="24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score range</w:t>
            </w:r>
          </w:p>
        </w:tc>
        <w:tc>
          <w:tcPr>
            <w:tcW w:type="dxa" w:w="24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percentage</w:t>
            </w:r>
          </w:p>
        </w:tc>
        <w:tc>
          <w:tcPr>
            <w:tcW w:type="dxa" w:w="216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jc w:val="right"/>
            </w:pPr>
            <w:r>
              <w:rPr>
                <w:rFonts w:ascii="Courier Prime" w:cs="Courier Prime" w:eastAsia="Courier Prime" w:hAnsi="Courier Prime"/>
                <w:color w:val="5E6166"/>
                <w:sz w:val="18"/>
                <w:szCs w:val="18"/>
              </w:rPr>
              <w:t xml:space="preserve">gpa points</w:t>
            </w:r>
          </w:p>
        </w:tc>
      </w:tr>
      <w:tr>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A (A, A–)</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3.35–4.00</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83.75–100%</w:t>
            </w:r>
          </w:p>
        </w:tc>
        <w:tc>
          <w:tcPr>
            <w:tcW w:type="dxa" w:w="2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19"/>
                <w:szCs w:val="19"/>
              </w:rPr>
              <w:t xml:space="preserve">3.7–4.0</w:t>
            </w:r>
          </w:p>
        </w:tc>
      </w:tr>
      <w:tr>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B (B+, B, B–)</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3.05–3.34</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76.25–83.74%</w:t>
            </w:r>
          </w:p>
        </w:tc>
        <w:tc>
          <w:tcPr>
            <w:tcW w:type="dxa" w:w="2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19"/>
                <w:szCs w:val="19"/>
              </w:rPr>
              <w:t xml:space="preserve">2.7–3.3</w:t>
            </w:r>
          </w:p>
        </w:tc>
      </w:tr>
      <w:tr>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C (C+, C, C–)</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2.75–3.04</w:t>
            </w:r>
          </w:p>
        </w:tc>
        <w:tc>
          <w:tcPr>
            <w:tcW w:type="dxa" w:w="24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68.75–76.24%</w:t>
            </w:r>
          </w:p>
        </w:tc>
        <w:tc>
          <w:tcPr>
            <w:tcW w:type="dxa" w:w="21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19"/>
                <w:szCs w:val="19"/>
              </w:rPr>
              <w:t xml:space="preserve">1.7–2.3</w:t>
            </w:r>
          </w:p>
        </w:tc>
      </w:tr>
      <w:tr>
        <w:tc>
          <w:tcPr>
            <w:tcW w:type="dxa" w:w="24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F</w:t>
            </w:r>
          </w:p>
        </w:tc>
        <w:tc>
          <w:tcPr>
            <w:tcW w:type="dxa" w:w="24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below 2.75</w:t>
            </w:r>
          </w:p>
        </w:tc>
        <w:tc>
          <w:tcPr>
            <w:tcW w:type="dxa" w:w="24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1B1C1E"/>
                <w:sz w:val="19"/>
                <w:szCs w:val="19"/>
              </w:rPr>
              <w:t xml:space="preserve">below 68.75%</w:t>
            </w:r>
          </w:p>
        </w:tc>
        <w:tc>
          <w:tcPr>
            <w:tcW w:type="dxa" w:w="216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jc w:val="right"/>
            </w:pPr>
            <w:r>
              <w:rPr>
                <w:rFonts w:ascii="Courier Prime" w:cs="Courier Prime" w:eastAsia="Courier Prime" w:hAnsi="Courier Prime"/>
                <w:color w:val="1B1C1E"/>
                <w:sz w:val="19"/>
                <w:szCs w:val="19"/>
              </w:rPr>
              <w:t xml:space="preserve">0.0</w:t>
            </w:r>
          </w:p>
        </w:tc>
      </w:tr>
    </w:tbl>
    <w:p>
      <w:pPr>
        <w:spacing w:after="22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vAlign w:val="top"/>
          </w:tcPr>
          <w:p>
            <w:pPr>
              <w:spacing w:after="70"/>
            </w:pPr>
            <w:r>
              <w:rPr>
                <w:rFonts w:ascii="Courier Prime" w:cs="Courier Prime" w:eastAsia="Courier Prime" w:hAnsi="Courier Prime"/>
                <w:color w:val="6E1F2A"/>
                <w:sz w:val="17"/>
                <w:szCs w:val="17"/>
              </w:rPr>
              <w:t xml:space="preserve">minimum grade requirements</w:t>
            </w:r>
          </w:p>
          <w:p>
            <w:pPr>
              <w:spacing w:after="0" w:line="300"/>
            </w:pPr>
            <w:r>
              <w:rPr>
                <w:rFonts w:ascii="Source Serif 4" w:cs="Source Serif 4" w:eastAsia="Source Serif 4" w:hAnsi="Source Serif 4"/>
                <w:color w:val="1B1C1E"/>
                <w:sz w:val="22"/>
                <w:szCs w:val="22"/>
              </w:rPr>
              <w:t xml:space="preserve">Music majors and music minors must earn a C– or better for the course to count toward major or minor requirements.</w:t>
            </w:r>
          </w:p>
        </w:tc>
      </w:tr>
    </w:tbl>
    <w:p>
      <w:pPr>
        <w:spacing w:after="160" w:line="330"/>
      </w:pPr>
      <w:r>
        <w:rPr>
          <w:rFonts w:ascii="Source Serif 4" w:cs="Source Serif 4" w:eastAsia="Source Serif 4" w:hAnsi="Source Serif 4"/>
          <w:color w:val="1B1C1E"/>
          <w:sz w:val="22"/>
          <w:szCs w:val="22"/>
        </w:rPr>
        <w:t xml:space="preserve">Grade appeals follow the university process described in the CSUEB Catalog: </w:t>
      </w:r>
      <w:r>
        <w:rPr>
          <w:rFonts w:ascii="Source Serif 4" w:cs="Source Serif 4" w:eastAsia="Source Serif 4" w:hAnsi="Source Serif 4"/>
          <w:color w:val="6E1F2A"/>
          <w:sz w:val="22"/>
          <w:szCs w:val="22"/>
        </w:rPr>
        <w:t xml:space="preserve">Grade Appeals and Academic Grievances</w:t>
      </w:r>
      <w:r>
        <w:rPr>
          <w:rFonts w:ascii="Source Serif 4" w:cs="Source Serif 4" w:eastAsia="Source Serif 4" w:hAnsi="Source Serif 4"/>
          <w:color w:val="1B1C1E"/>
          <w:sz w:val="22"/>
          <w:szCs w:val="22"/>
        </w:rPr>
        <w:t xml:space="preserve">.</w:t>
      </w:r>
    </w:p>
    <w:p>
      <w:pPr>
        <w:spacing w:after="130" w:before="300"/>
      </w:pPr>
      <w:r>
        <w:rPr>
          <w:rFonts w:ascii="Courier Prime" w:cs="Courier Prime" w:eastAsia="Courier Prime" w:hAnsi="Courier Prime"/>
          <w:b/>
          <w:bCs/>
          <w:color w:val="6E1F2A"/>
          <w:sz w:val="26"/>
          <w:szCs w:val="26"/>
        </w:rPr>
        <w:t xml:space="preserve">10  </w:t>
      </w:r>
      <w:r>
        <w:rPr>
          <w:rFonts w:ascii="Courier Prime" w:cs="Courier Prime" w:eastAsia="Courier Prime" w:hAnsi="Courier Prime"/>
          <w:b/>
          <w:bCs/>
          <w:color w:val="1B1C1E"/>
          <w:sz w:val="26"/>
          <w:szCs w:val="26"/>
        </w:rPr>
        <w:t xml:space="preserve">course policies</w:t>
      </w:r>
    </w:p>
    <w:p>
      <w:pPr>
        <w:spacing w:after="160" w:line="330"/>
      </w:pPr>
      <w:r>
        <w:rPr>
          <w:rFonts w:ascii="Source Serif 4" w:cs="Source Serif 4" w:eastAsia="Source Serif 4" w:hAnsi="Source Serif 4"/>
          <w:b/>
          <w:bCs/>
          <w:color w:val="1B1C1E"/>
          <w:sz w:val="22"/>
          <w:szCs w:val="22"/>
        </w:rPr>
        <w:t xml:space="preserve">Attendance. </w:t>
      </w:r>
      <w:r>
        <w:rPr>
          <w:rFonts w:ascii="Source Serif 4" w:cs="Source Serif 4" w:eastAsia="Source Serif 4" w:hAnsi="Source Serif 4"/>
          <w:color w:val="1B1C1E"/>
          <w:sz w:val="22"/>
          <w:szCs w:val="22"/>
        </w:rPr>
        <w:t xml:space="preserve">Regular attendance is essential. Theory is learned incrementally and each class builds directly on the last. If you need to miss a class, please email the instructor in advance when possible. More than three unexcused absences will affect your grade.</w:t>
      </w:r>
    </w:p>
    <w:p>
      <w:pPr>
        <w:spacing w:after="160" w:line="330"/>
      </w:pPr>
      <w:r>
        <w:rPr>
          <w:rFonts w:ascii="Source Serif 4" w:cs="Source Serif 4" w:eastAsia="Source Serif 4" w:hAnsi="Source Serif 4"/>
          <w:b/>
          <w:bCs/>
          <w:color w:val="1B1C1E"/>
          <w:sz w:val="22"/>
          <w:szCs w:val="22"/>
        </w:rPr>
        <w:t xml:space="preserve">Late work. </w:t>
      </w:r>
      <w:r>
        <w:rPr>
          <w:rFonts w:ascii="Source Serif 4" w:cs="Source Serif 4" w:eastAsia="Source Serif 4" w:hAnsi="Source Serif 4"/>
          <w:color w:val="1B1C1E"/>
          <w:sz w:val="22"/>
          <w:szCs w:val="22"/>
        </w:rPr>
        <w:t xml:space="preserve">Assignments submitted after the deadline receive a 2% deduction per day late, up to a maximum deduction of 50%. Submitting late is always better than not submitting, and work will never receive less than 50% credit solely due to lateness. The quality of the work is still evaluated normally. If you anticipate significant delays, please communicate early, in person or through Canvas.</w:t>
      </w:r>
    </w:p>
    <w:p>
      <w:pPr>
        <w:spacing w:after="160" w:line="330"/>
      </w:pPr>
      <w:r>
        <w:rPr>
          <w:rFonts w:ascii="Source Serif 4" w:cs="Source Serif 4" w:eastAsia="Source Serif 4" w:hAnsi="Source Serif 4"/>
          <w:b/>
          <w:bCs/>
          <w:color w:val="1B1C1E"/>
          <w:sz w:val="22"/>
          <w:szCs w:val="22"/>
        </w:rPr>
        <w:t xml:space="preserve">Syllabus changes. </w:t>
      </w:r>
      <w:r>
        <w:rPr>
          <w:rFonts w:ascii="Source Serif 4" w:cs="Source Serif 4" w:eastAsia="Source Serif 4" w:hAnsi="Source Serif 4"/>
          <w:color w:val="1B1C1E"/>
          <w:sz w:val="22"/>
          <w:szCs w:val="22"/>
        </w:rPr>
        <w:t xml:space="preserve">Unanticipated circumstances may require adjustments to this syllabus. Any changes will be discussed with students before implementation and communicated in person and through Canvas.</w:t>
      </w:r>
    </w:p>
    <w:p>
      <w:pPr>
        <w:spacing w:after="130" w:before="300"/>
      </w:pPr>
      <w:r>
        <w:rPr>
          <w:rFonts w:ascii="Courier Prime" w:cs="Courier Prime" w:eastAsia="Courier Prime" w:hAnsi="Courier Prime"/>
          <w:b/>
          <w:bCs/>
          <w:color w:val="6E1F2A"/>
          <w:sz w:val="26"/>
          <w:szCs w:val="26"/>
        </w:rPr>
        <w:t xml:space="preserve">11  </w:t>
      </w:r>
      <w:r>
        <w:rPr>
          <w:rFonts w:ascii="Courier Prime" w:cs="Courier Prime" w:eastAsia="Courier Prime" w:hAnsi="Courier Prime"/>
          <w:b/>
          <w:bCs/>
          <w:color w:val="1B1C1E"/>
          <w:sz w:val="26"/>
          <w:szCs w:val="26"/>
        </w:rPr>
        <w:t xml:space="preserve">generative ai use policy</w:t>
      </w:r>
    </w:p>
    <w:p>
      <w:pPr>
        <w:spacing w:after="160" w:line="330"/>
      </w:pPr>
      <w:r>
        <w:rPr>
          <w:rFonts w:ascii="Source Serif 4" w:cs="Source Serif 4" w:eastAsia="Source Serif 4" w:hAnsi="Source Serif 4"/>
          <w:color w:val="1B1C1E"/>
          <w:sz w:val="22"/>
          <w:szCs w:val="22"/>
        </w:rPr>
        <w:t xml:space="preserve">Generative AI tools (such as ChatGPT, Claude, DALL·E, and similar) may be used in this course with documentation and citation. AI can be useful for brainstorming or organizing ideas, but the listening, thinking, and writing must be your own. AI cannot replace listening or reflection, and substituting AI-generated content for required analysis violates course policy.</w:t>
      </w:r>
    </w:p>
    <w:p>
      <w:pPr>
        <w:spacing w:after="80" w:line="330"/>
      </w:pPr>
      <w:r>
        <w:rPr>
          <w:rFonts w:ascii="Source Serif 4" w:cs="Source Serif 4" w:eastAsia="Source Serif 4" w:hAnsi="Source Serif 4"/>
          <w:b/>
          <w:bCs/>
          <w:color w:val="1B1C1E"/>
          <w:sz w:val="22"/>
          <w:szCs w:val="22"/>
        </w:rPr>
        <w:t xml:space="preserve">Citation requirements (Chicago 17th edition).</w:t>
      </w:r>
    </w:p>
    <w:p>
      <w:pPr>
        <w:spacing w:after="80" w:line="330"/>
      </w:pPr>
      <w:r>
        <w:rPr>
          <w:rFonts w:ascii="Source Serif 4" w:cs="Source Serif 4" w:eastAsia="Source Serif 4" w:hAnsi="Source Serif 4"/>
          <w:color w:val="1B1C1E"/>
          <w:sz w:val="22"/>
          <w:szCs w:val="22"/>
        </w:rPr>
        <w:t xml:space="preserve">Footnote:  </w:t>
      </w:r>
      <w:r>
        <w:rPr>
          <w:rFonts w:ascii="Courier Prime" w:cs="Courier Prime" w:eastAsia="Courier Prime" w:hAnsi="Courier Prime"/>
          <w:color w:val="5E6166"/>
          <w:sz w:val="18"/>
          <w:szCs w:val="18"/>
        </w:rPr>
        <w:t xml:space="preserve">OpenAI, ChatGPT, [access date], https://chat.openai.com/</w:t>
      </w:r>
    </w:p>
    <w:p>
      <w:pPr>
        <w:spacing w:after="160" w:line="330"/>
      </w:pPr>
      <w:r>
        <w:rPr>
          <w:rFonts w:ascii="Source Serif 4" w:cs="Source Serif 4" w:eastAsia="Source Serif 4" w:hAnsi="Source Serif 4"/>
          <w:color w:val="1B1C1E"/>
          <w:sz w:val="22"/>
          <w:szCs w:val="22"/>
        </w:rPr>
        <w:t xml:space="preserve">Bibliography:  </w:t>
      </w:r>
      <w:r>
        <w:rPr>
          <w:rFonts w:ascii="Courier Prime" w:cs="Courier Prime" w:eastAsia="Courier Prime" w:hAnsi="Courier Prime"/>
          <w:color w:val="5E6166"/>
          <w:sz w:val="18"/>
          <w:szCs w:val="18"/>
        </w:rPr>
        <w:t xml:space="preserve">OpenAI. ChatGPT. [access date]. https://chat.openai.com/</w:t>
      </w:r>
    </w:p>
    <w:p>
      <w:pPr>
        <w:spacing w:after="160" w:line="330"/>
      </w:pPr>
      <w:r>
        <w:rPr>
          <w:rFonts w:ascii="Source Serif 4" w:cs="Source Serif 4" w:eastAsia="Source Serif 4" w:hAnsi="Source Serif 4"/>
          <w:b/>
          <w:bCs/>
          <w:color w:val="1B1C1E"/>
          <w:sz w:val="22"/>
          <w:szCs w:val="22"/>
        </w:rPr>
        <w:t xml:space="preserve">Document the conversation. </w:t>
      </w:r>
      <w:r>
        <w:rPr>
          <w:rFonts w:ascii="Source Serif 4" w:cs="Source Serif 4" w:eastAsia="Source Serif 4" w:hAnsi="Source Serif 4"/>
          <w:color w:val="1B1C1E"/>
          <w:sz w:val="22"/>
          <w:szCs w:val="22"/>
        </w:rPr>
        <w:t xml:space="preserve">Where the platform allows, click Share → Copy Link and paste the link in an appendix to your submission. Both Claude and ChatGPT support shareable conversation links.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single" w:color="6E1F2A" w:sz="24"/>
              <w:bottom w:val="none" w:color="FFFFFF" w:sz="0"/>
              <w:right w:val="none" w:color="FFFFFF" w:sz="0"/>
            </w:tcBorders>
            <w:shd w:fill="F7ECED" w:color="auto" w:val="clear"/>
            <w:tcMar>
              <w:top w:type="dxa" w:w="140"/>
              <w:left w:type="dxa" w:w="180"/>
              <w:bottom w:type="dxa" w:w="140"/>
              <w:right w:type="dxa" w:w="180"/>
            </w:tcMar>
            <w:vAlign w:val="top"/>
          </w:tcPr>
          <w:p>
            <w:pPr>
              <w:spacing w:after="70"/>
            </w:pPr>
            <w:r>
              <w:rPr>
                <w:rFonts w:ascii="Courier Prime" w:cs="Courier Prime" w:eastAsia="Courier Prime" w:hAnsi="Courier Prime"/>
                <w:color w:val="6E1F2A"/>
                <w:sz w:val="17"/>
                <w:szCs w:val="17"/>
              </w:rPr>
              <w:t xml:space="preserve">academic integrity</w:t>
            </w:r>
          </w:p>
          <w:p>
            <w:pPr>
              <w:spacing w:after="0" w:line="300"/>
            </w:pPr>
            <w:r>
              <w:rPr>
                <w:rFonts w:ascii="Source Serif 4" w:cs="Source Serif 4" w:eastAsia="Source Serif 4" w:hAnsi="Source Serif 4"/>
                <w:color w:val="1B1C1E"/>
                <w:sz w:val="22"/>
                <w:szCs w:val="22"/>
              </w:rPr>
              <w:t xml:space="preserve">Undisclosed AI use violates the CSUEB Code of Academic Integrity and may be subject to disciplinary action.</w:t>
            </w:r>
          </w:p>
        </w:tc>
      </w:tr>
    </w:tbl>
    <w:p>
      <w:pPr>
        <w:spacing w:after="130" w:before="300"/>
      </w:pPr>
      <w:r>
        <w:rPr>
          <w:rFonts w:ascii="Courier Prime" w:cs="Courier Prime" w:eastAsia="Courier Prime" w:hAnsi="Courier Prime"/>
          <w:b/>
          <w:bCs/>
          <w:color w:val="6E1F2A"/>
          <w:sz w:val="26"/>
          <w:szCs w:val="26"/>
        </w:rPr>
        <w:t xml:space="preserve">12  </w:t>
      </w:r>
      <w:r>
        <w:rPr>
          <w:rFonts w:ascii="Courier Prime" w:cs="Courier Prime" w:eastAsia="Courier Prime" w:hAnsi="Courier Prime"/>
          <w:b/>
          <w:bCs/>
          <w:color w:val="1B1C1E"/>
          <w:sz w:val="26"/>
          <w:szCs w:val="26"/>
        </w:rPr>
        <w:t xml:space="preserve">course schedule</w:t>
      </w:r>
    </w:p>
    <w:p>
      <w:pPr>
        <w:spacing w:after="160" w:line="330"/>
      </w:pPr>
      <w:r>
        <w:rPr>
          <w:rFonts w:ascii="Source Serif 4" w:cs="Source Serif 4" w:eastAsia="Source Serif 4" w:hAnsi="Source Serif 4"/>
          <w:color w:val="1B1C1E"/>
          <w:sz w:val="22"/>
          <w:szCs w:val="22"/>
        </w:rPr>
        <w:t xml:space="preserve">The following schedule maps the fifteen instructional weeks and finals week (Week 16). References are to Burstein and Straus (B&amp;S) chapters. The instructor may adjust pacing as needed; any changes will be announced in class and on Canvas.</w:t>
      </w:r>
    </w:p>
    <w:p>
      <w:pPr>
        <w:spacing w:after="120" w:line="300"/>
      </w:pPr>
      <w:r>
        <w:rPr>
          <w:rFonts w:ascii="Courier Prime" w:cs="Courier Prime" w:eastAsia="Courier Prime" w:hAnsi="Courier Prime"/>
          <w:color w:val="5E6166"/>
          <w:sz w:val="18"/>
          <w:szCs w:val="18"/>
        </w:rPr>
        <w:t xml:space="preserve">assessment rhythm: lesson exercises are due Wednesday each week, handwritten and turned in on paper in class. group quizzes are held on Mondays in Weeks 3, 6, 10, 12, and 14. the midterm is in Week 8 and the final in finals week (Week 16).</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6700"/>
        <w:gridCol w:w="1760"/>
      </w:tblGrid>
      <w:tr>
        <w:tc>
          <w:tcPr>
            <w:tcW w:type="dxa" w:w="9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week</w:t>
            </w:r>
          </w:p>
        </w:tc>
        <w:tc>
          <w:tcPr>
            <w:tcW w:type="dxa" w:w="670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topic</w:t>
            </w:r>
          </w:p>
        </w:tc>
        <w:tc>
          <w:tcPr>
            <w:tcW w:type="dxa" w:w="1760"/>
            <w:tcBorders>
              <w:top w:val="none" w:color="FFFFFF" w:sz="0"/>
              <w:left w:val="none" w:color="FFFFFF" w:sz="0"/>
              <w:bottom w:val="single" w:color="6E1F2A" w:sz="12"/>
              <w:right w:val="none" w:color="FFFFFF" w:sz="0"/>
            </w:tcBorders>
            <w:tcMar>
              <w:top w:type="dxa" w:w="40"/>
              <w:left w:type="dxa" w:w="0"/>
              <w:bottom w:type="dxa" w:w="100"/>
              <w:right w:type="dxa" w:w="120"/>
            </w:tcMar>
            <w:vAlign w:val="top"/>
          </w:tcPr>
          <w:p>
            <w:pPr>
              <w:spacing w:after="0"/>
            </w:pPr>
            <w:r>
              <w:rPr>
                <w:rFonts w:ascii="Courier Prime" w:cs="Courier Prime" w:eastAsia="Courier Prime" w:hAnsi="Courier Prime"/>
                <w:color w:val="5E6166"/>
                <w:sz w:val="18"/>
                <w:szCs w:val="18"/>
              </w:rPr>
              <w:t xml:space="preserve">b&amp;s chapter</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01</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Review: scales, key signatures, intervals.</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1–2</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02</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Triads and seventh chords: types and construction.</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3</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03</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Triads and seventh chords continued: inversions, figured bass, Roman numerals.</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3 cont.</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04</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Introduction to four-part (SATB) harmony.</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4</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05</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Voice leading principles.</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5</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06</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Harmonic progression: syntax and function.</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6</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07</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Melodic elaboration: non-chord tones.</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7</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08</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Midterm exam. Covers Ch. 1–7.</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09</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Species counterpoint I: first and second species.</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8</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10</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Species counterpoint II: fourth species (suspension).</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8 cont.</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11</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Diatonic harmony: I and V.</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9</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12</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The V</w:t>
            </w:r>
            <w:r>
              <w:rPr>
                <w:rFonts w:ascii="Source Serif 4" w:cs="Source Serif 4" w:eastAsia="Source Serif 4" w:hAnsi="Source Serif 4"/>
                <w:color w:val="1B1C1E"/>
                <w:sz w:val="22"/>
                <w:szCs w:val="22"/>
                <w:vertAlign w:val="superscript"/>
              </w:rPr>
              <w:t xml:space="preserve">7</w:t>
            </w:r>
            <w:r>
              <w:rPr>
                <w:rFonts w:ascii="Source Serif 4" w:cs="Source Serif 4" w:eastAsia="Source Serif 4" w:hAnsi="Source Serif 4"/>
                <w:color w:val="1B1C1E"/>
                <w:sz w:val="22"/>
                <w:szCs w:val="22"/>
              </w:rPr>
              <w:t xml:space="preserve"> chord: preparation and resolution.</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10</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13</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I</w:t>
            </w:r>
            <w:r>
              <w:rPr>
                <w:rFonts w:ascii="Source Serif 4" w:cs="Source Serif 4" w:eastAsia="Source Serif 4" w:hAnsi="Source Serif 4"/>
                <w:color w:val="1B1C1E"/>
                <w:sz w:val="22"/>
                <w:szCs w:val="22"/>
                <w:vertAlign w:val="superscript"/>
              </w:rPr>
              <w:t xml:space="preserve">6</w:t>
            </w:r>
            <w:r>
              <w:rPr>
                <w:rFonts w:ascii="Source Serif 4" w:cs="Source Serif 4" w:eastAsia="Source Serif 4" w:hAnsi="Source Serif 4"/>
                <w:color w:val="1B1C1E"/>
                <w:sz w:val="22"/>
                <w:szCs w:val="22"/>
              </w:rPr>
              <w:t xml:space="preserve"> and V</w:t>
            </w:r>
            <w:r>
              <w:rPr>
                <w:rFonts w:ascii="Source Serif 4" w:cs="Source Serif 4" w:eastAsia="Source Serif 4" w:hAnsi="Source Serif 4"/>
                <w:color w:val="1B1C1E"/>
                <w:sz w:val="22"/>
                <w:szCs w:val="22"/>
                <w:vertAlign w:val="superscript"/>
              </w:rPr>
              <w:t xml:space="preserve">6</w:t>
            </w:r>
            <w:r>
              <w:rPr>
                <w:rFonts w:ascii="Source Serif 4" w:cs="Source Serif 4" w:eastAsia="Source Serif 4" w:hAnsi="Source Serif 4"/>
                <w:color w:val="1B1C1E"/>
                <w:sz w:val="22"/>
                <w:szCs w:val="22"/>
              </w:rPr>
              <w:t xml:space="preserve"> chords: first inversion triads in context.</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11</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14</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Inversions of the V</w:t>
            </w:r>
            <w:r>
              <w:rPr>
                <w:rFonts w:ascii="Source Serif 4" w:cs="Source Serif 4" w:eastAsia="Source Serif 4" w:hAnsi="Source Serif 4"/>
                <w:color w:val="1B1C1E"/>
                <w:sz w:val="22"/>
                <w:szCs w:val="22"/>
                <w:vertAlign w:val="superscript"/>
              </w:rPr>
              <w:t xml:space="preserve">7</w:t>
            </w:r>
            <w:r>
              <w:rPr>
                <w:rFonts w:ascii="Source Serif 4" w:cs="Source Serif 4" w:eastAsia="Source Serif 4" w:hAnsi="Source Serif 4"/>
                <w:color w:val="1B1C1E"/>
                <w:sz w:val="22"/>
                <w:szCs w:val="22"/>
              </w:rPr>
              <w:t xml:space="preserve"> chord.</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Ch. 12</w:t>
            </w:r>
          </w:p>
        </w:tc>
      </w:tr>
      <w:tr>
        <w:tc>
          <w:tcPr>
            <w:tcW w:type="dxa" w:w="9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15</w:t>
            </w:r>
          </w:p>
        </w:tc>
        <w:tc>
          <w:tcPr>
            <w:tcW w:type="dxa" w:w="670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Review.</w:t>
            </w:r>
          </w:p>
        </w:tc>
        <w:tc>
          <w:tcPr>
            <w:tcW w:type="dxa" w:w="1760"/>
            <w:tcBorders>
              <w:top w:val="none" w:color="FFFFFF" w:sz="0"/>
              <w:left w:val="none" w:color="FFFFFF" w:sz="0"/>
              <w:bottom w:val="single" w:color="E6E6E3" w:sz="6"/>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
            </w:r>
          </w:p>
        </w:tc>
      </w:tr>
      <w:tr>
        <w:tc>
          <w:tcPr>
            <w:tcW w:type="dxa" w:w="9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b/>
                <w:bCs/>
                <w:color w:val="6E1F2A"/>
                <w:sz w:val="20"/>
                <w:szCs w:val="20"/>
              </w:rPr>
              <w:t xml:space="preserve">16</w:t>
            </w:r>
          </w:p>
        </w:tc>
        <w:tc>
          <w:tcPr>
            <w:tcW w:type="dxa" w:w="670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Source Serif 4" w:cs="Source Serif 4" w:eastAsia="Source Serif 4" w:hAnsi="Source Serif 4"/>
                <w:color w:val="1B1C1E"/>
                <w:sz w:val="22"/>
                <w:szCs w:val="22"/>
              </w:rPr>
              <w:t xml:space="preserve">Final exam.</w:t>
            </w:r>
          </w:p>
        </w:tc>
        <w:tc>
          <w:tcPr>
            <w:tcW w:type="dxa" w:w="1760"/>
            <w:tcBorders>
              <w:top w:val="none" w:color="FFFFFF" w:sz="0"/>
              <w:left w:val="none" w:color="FFFFFF" w:sz="0"/>
              <w:bottom w:val="none" w:color="FFFFFF" w:sz="0"/>
              <w:right w:val="none" w:color="FFFFFF" w:sz="0"/>
            </w:tcBorders>
            <w:tcMar>
              <w:top w:type="dxa" w:w="110"/>
              <w:left w:type="dxa" w:w="0"/>
              <w:bottom w:type="dxa" w:w="110"/>
              <w:right w:type="dxa" w:w="120"/>
            </w:tcMar>
            <w:vAlign w:val="top"/>
          </w:tcPr>
          <w:p>
            <w:pPr>
              <w:spacing w:after="0" w:line="300"/>
            </w:pPr>
            <w:r>
              <w:rPr>
                <w:rFonts w:ascii="Courier Prime" w:cs="Courier Prime" w:eastAsia="Courier Prime" w:hAnsi="Courier Prime"/>
                <w:color w:val="5E6166"/>
                <w:sz w:val="19"/>
                <w:szCs w:val="19"/>
              </w:rPr>
              <w:t xml:space="preserve"/>
            </w:r>
          </w:p>
        </w:tc>
      </w:tr>
    </w:tbl>
    <w:p>
      <w:pPr>
        <w:spacing w:after="130" w:before="300"/>
      </w:pPr>
      <w:r>
        <w:rPr>
          <w:rFonts w:ascii="Courier Prime" w:cs="Courier Prime" w:eastAsia="Courier Prime" w:hAnsi="Courier Prime"/>
          <w:b/>
          <w:bCs/>
          <w:color w:val="6E1F2A"/>
          <w:sz w:val="26"/>
          <w:szCs w:val="26"/>
        </w:rPr>
        <w:t xml:space="preserve">13  </w:t>
      </w:r>
      <w:r>
        <w:rPr>
          <w:rFonts w:ascii="Courier Prime" w:cs="Courier Prime" w:eastAsia="Courier Prime" w:hAnsi="Courier Prime"/>
          <w:b/>
          <w:bCs/>
          <w:color w:val="1B1C1E"/>
          <w:sz w:val="26"/>
          <w:szCs w:val="26"/>
        </w:rPr>
        <w:t xml:space="preserve">student resources</w:t>
      </w:r>
    </w:p>
    <w:p>
      <w:pPr>
        <w:spacing w:after="160" w:line="330"/>
      </w:pPr>
      <w:r>
        <w:rPr>
          <w:rFonts w:ascii="Source Serif 4" w:cs="Source Serif 4" w:eastAsia="Source Serif 4" w:hAnsi="Source Serif 4"/>
          <w:b/>
          <w:bCs/>
          <w:color w:val="1B1C1E"/>
          <w:sz w:val="22"/>
          <w:szCs w:val="22"/>
        </w:rPr>
        <w:t xml:space="preserve">Academic integrity. </w:t>
      </w:r>
      <w:r>
        <w:rPr>
          <w:rFonts w:ascii="Source Serif 4" w:cs="Source Serif 4" w:eastAsia="Source Serif 4" w:hAnsi="Source Serif 4"/>
          <w:color w:val="1B1C1E"/>
          <w:sz w:val="22"/>
          <w:szCs w:val="22"/>
        </w:rPr>
        <w:t xml:space="preserve">As a member of the academic community, you are expected to act with integrity and avoid plagiarism and other forms of cheating. By enrolling in this class, you agree to uphold the standards of academic integrity described at </w:t>
      </w:r>
      <w:r>
        <w:rPr>
          <w:rFonts w:ascii="Source Serif 4" w:cs="Source Serif 4" w:eastAsia="Source Serif 4" w:hAnsi="Source Serif 4"/>
          <w:color w:val="6E1F2A"/>
          <w:sz w:val="22"/>
          <w:szCs w:val="22"/>
        </w:rPr>
        <w:t xml:space="preserve">csueastbay.edu/aps/academic-policies/academic-dishonesty.html</w:t>
      </w:r>
      <w:r>
        <w:rPr>
          <w:rFonts w:ascii="Source Serif 4" w:cs="Source Serif 4" w:eastAsia="Source Serif 4" w:hAnsi="Source Serif 4"/>
          <w:color w:val="1B1C1E"/>
          <w:sz w:val="22"/>
          <w:szCs w:val="22"/>
        </w:rPr>
        <w:t xml:space="preserve">.</w:t>
      </w:r>
    </w:p>
    <w:p>
      <w:pPr>
        <w:spacing w:after="160" w:line="330"/>
      </w:pPr>
      <w:r>
        <w:rPr>
          <w:rFonts w:ascii="Source Serif 4" w:cs="Source Serif 4" w:eastAsia="Source Serif 4" w:hAnsi="Source Serif 4"/>
          <w:b/>
          <w:bCs/>
          <w:color w:val="1B1C1E"/>
          <w:sz w:val="22"/>
          <w:szCs w:val="22"/>
        </w:rPr>
        <w:t xml:space="preserve">Accommodations for students with disabilities. </w:t>
      </w:r>
      <w:r>
        <w:rPr>
          <w:rFonts w:ascii="Source Serif 4" w:cs="Source Serif 4" w:eastAsia="Source Serif 4" w:hAnsi="Source Serif 4"/>
          <w:color w:val="1B1C1E"/>
          <w:sz w:val="22"/>
          <w:szCs w:val="22"/>
        </w:rPr>
        <w:t xml:space="preserve">For disability and other learning-related needs and accommodations, including assistance in the event of an emergency evacuation, please communicate with the instructor as soon as possible. Students with disabilities are also encouraged to contact Accessibility Services at </w:t>
      </w:r>
      <w:r>
        <w:rPr>
          <w:rFonts w:ascii="Source Serif 4" w:cs="Source Serif 4" w:eastAsia="Source Serif 4" w:hAnsi="Source Serif 4"/>
          <w:color w:val="6E1F2A"/>
          <w:sz w:val="22"/>
          <w:szCs w:val="22"/>
        </w:rPr>
        <w:t xml:space="preserve">csueastbay.edu/accessibility</w:t>
      </w:r>
      <w:r>
        <w:rPr>
          <w:rFonts w:ascii="Source Serif 4" w:cs="Source Serif 4" w:eastAsia="Source Serif 4" w:hAnsi="Source Serif 4"/>
          <w:color w:val="1B1C1E"/>
          <w:sz w:val="22"/>
          <w:szCs w:val="22"/>
        </w:rPr>
        <w:t xml:space="preserve"> to meet with a counselor who can advise on options, including rights under Section 504 of the Rehabilitation Act and the Americans with Disabilities Act.</w:t>
      </w:r>
    </w:p>
    <w:p>
      <w:pPr>
        <w:spacing w:after="160" w:line="330"/>
      </w:pPr>
      <w:r>
        <w:rPr>
          <w:rFonts w:ascii="Source Serif 4" w:cs="Source Serif 4" w:eastAsia="Source Serif 4" w:hAnsi="Source Serif 4"/>
          <w:b/>
          <w:bCs/>
          <w:color w:val="1B1C1E"/>
          <w:sz w:val="22"/>
          <w:szCs w:val="22"/>
        </w:rPr>
        <w:t xml:space="preserve">Student services. </w:t>
      </w:r>
      <w:r>
        <w:rPr>
          <w:rFonts w:ascii="Source Serif 4" w:cs="Source Serif 4" w:eastAsia="Source Serif 4" w:hAnsi="Source Serif 4"/>
          <w:color w:val="1B1C1E"/>
          <w:sz w:val="22"/>
          <w:szCs w:val="22"/>
        </w:rPr>
        <w:t xml:space="preserve">To access student services offered at Cal State East Bay, click the MyCompass icon for your one-stop online support hub: academic advising, tutoring, financial aid, the library, the health center, technology support, career counseling, campus life, equity programs, and more.</w:t>
      </w:r>
    </w:p>
    <w:p>
      <w:pPr>
        <w:spacing w:after="160" w:line="330"/>
      </w:pPr>
      <w:r>
        <w:rPr>
          <w:rFonts w:ascii="Source Serif 4" w:cs="Source Serif 4" w:eastAsia="Source Serif 4" w:hAnsi="Source Serif 4"/>
          <w:b/>
          <w:bCs/>
          <w:color w:val="1B1C1E"/>
          <w:sz w:val="22"/>
          <w:szCs w:val="22"/>
        </w:rPr>
        <w:t xml:space="preserve">Emergency information. </w:t>
      </w:r>
      <w:r>
        <w:rPr>
          <w:rFonts w:ascii="Source Serif 4" w:cs="Source Serif 4" w:eastAsia="Source Serif 4" w:hAnsi="Source Serif 4"/>
          <w:color w:val="1B1C1E"/>
          <w:sz w:val="22"/>
          <w:szCs w:val="22"/>
        </w:rPr>
        <w:t xml:space="preserve">Information on what to do in an emergency (earthquake, electrical outage, fire, extreme heat, severe storm, hazardous materials, terrorist attack) is at </w:t>
      </w:r>
      <w:r>
        <w:rPr>
          <w:rFonts w:ascii="Source Serif 4" w:cs="Source Serif 4" w:eastAsia="Source Serif 4" w:hAnsi="Source Serif 4"/>
          <w:color w:val="6E1F2A"/>
          <w:sz w:val="22"/>
          <w:szCs w:val="22"/>
        </w:rPr>
        <w:t xml:space="preserve">csueastbay.edu/riskmanagement</w:t>
      </w:r>
      <w:r>
        <w:rPr>
          <w:rFonts w:ascii="Source Serif 4" w:cs="Source Serif 4" w:eastAsia="Source Serif 4" w:hAnsi="Source Serif 4"/>
          <w:color w:val="1B1C1E"/>
          <w:sz w:val="22"/>
          <w:szCs w:val="22"/>
        </w:rPr>
        <w:t xml:space="preserve">. Please review it at the start of the semester.</w:t>
      </w:r>
    </w:p>
    <w:p>
      <w:pPr>
        <w:spacing w:after="160" w:line="330"/>
      </w:pPr>
      <w:r>
        <w:rPr>
          <w:rFonts w:ascii="Source Serif 4" w:cs="Source Serif 4" w:eastAsia="Source Serif 4" w:hAnsi="Source Serif 4"/>
          <w:b/>
          <w:bCs/>
          <w:color w:val="1B1C1E"/>
          <w:sz w:val="22"/>
          <w:szCs w:val="22"/>
        </w:rPr>
        <w:t xml:space="preserve">Protection against discrimination, harassment, and retaliation. </w:t>
      </w:r>
      <w:r>
        <w:rPr>
          <w:rFonts w:ascii="Source Serif 4" w:cs="Source Serif 4" w:eastAsia="Source Serif 4" w:hAnsi="Source Serif 4"/>
          <w:color w:val="1B1C1E"/>
          <w:sz w:val="22"/>
          <w:szCs w:val="22"/>
        </w:rPr>
        <w:t xml:space="preserve">Title IX and CSU policy prohibit discrimination, harassment, and retaliation, including sex discrimination, sexual harassment, and sexual violence. For confidential services, contact the Confidential Advocate at 510-885-3700 or the Student Health and Counseling Center. For 24-hour crisis services call the BAWAR hotline at 510-800-4247. More information: </w:t>
      </w:r>
      <w:r>
        <w:rPr>
          <w:rFonts w:ascii="Source Serif 4" w:cs="Source Serif 4" w:eastAsia="Source Serif 4" w:hAnsi="Source Serif 4"/>
          <w:color w:val="6E1F2A"/>
          <w:sz w:val="22"/>
          <w:szCs w:val="22"/>
        </w:rPr>
        <w:t xml:space="preserve">csueastbay.edu/titleix</w:t>
      </w:r>
      <w:r>
        <w:rPr>
          <w:rFonts w:ascii="Source Serif 4" w:cs="Source Serif 4" w:eastAsia="Source Serif 4" w:hAnsi="Source Serif 4"/>
          <w:color w:val="1B1C1E"/>
          <w:sz w:val="22"/>
          <w:szCs w:val="22"/>
        </w:rPr>
        <w:t xml:space="preserve">.</w:t>
      </w:r>
    </w:p>
    <w:p>
      <w:pPr>
        <w:spacing w:after="160" w:line="330"/>
      </w:pPr>
      <w:r>
        <w:rPr>
          <w:rFonts w:ascii="Source Serif 4" w:cs="Source Serif 4" w:eastAsia="Source Serif 4" w:hAnsi="Source Serif 4"/>
          <w:b/>
          <w:bCs/>
          <w:color w:val="1B1C1E"/>
          <w:sz w:val="22"/>
          <w:szCs w:val="22"/>
        </w:rPr>
        <w:t xml:space="preserve">Student conduct. </w:t>
      </w:r>
      <w:r>
        <w:rPr>
          <w:rFonts w:ascii="Source Serif 4" w:cs="Source Serif 4" w:eastAsia="Source Serif 4" w:hAnsi="Source Serif 4"/>
          <w:color w:val="1B1C1E"/>
          <w:sz w:val="22"/>
          <w:szCs w:val="22"/>
        </w:rPr>
        <w:t xml:space="preserve">The University is committed to maintaining a safe and healthy living and learning environment. More information: </w:t>
      </w:r>
      <w:r>
        <w:rPr>
          <w:rFonts w:ascii="Source Serif 4" w:cs="Source Serif 4" w:eastAsia="Source Serif 4" w:hAnsi="Source Serif 4"/>
          <w:color w:val="6E1F2A"/>
          <w:sz w:val="22"/>
          <w:szCs w:val="22"/>
        </w:rPr>
        <w:t xml:space="preserve">csueastbay.edu/studentconduct</w:t>
      </w:r>
      <w:r>
        <w:rPr>
          <w:rFonts w:ascii="Source Serif 4" w:cs="Source Serif 4" w:eastAsia="Source Serif 4" w:hAnsi="Source Serif 4"/>
          <w:color w:val="1B1C1E"/>
          <w:sz w:val="22"/>
          <w:szCs w:val="22"/>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Prime">
    <w:altName w:val="Courier New"/>
    <w:charset w:val="00"/>
    <w:family w:val="modern"/>
    <w:pitch w:val="fixed"/>
    <w:embedRegular r:id="rIdF1" w:fontKey="{D1759F17-79FD-45E5-99E5-385DBCBC0193}" w:subsetted="false"/>
    <w:embedBold r:id="rIdF2" w:fontKey="{6DB77DB9-F87B-4B16-B792-0CDC13A72128}" w:subsetted="false"/>
    <w:embedItalic r:id="rIdF3" w:fontKey="{F441ED81-C7FF-4A7A-94B6-BFB583620C49}" w:subsetted="false"/>
    <w:embedBoldItalic r:id="rIdF4" w:fontKey="{B9F7B797-CF72-4EDE-9958-E4F36B0E1483}" w:subsetted="false"/>
  </w:font>
  <w:font w:name="Source Serif 4">
    <w:altName w:val="Georgia"/>
    <w:charset w:val="00"/>
    <w:family w:val="roman"/>
    <w:pitch w:val="variable"/>
    <w:embedRegular r:id="rIdF5" w:fontKey="{D1E536F8-CD3F-4810-B07B-CEAE706C200E}" w:subsetted="false"/>
    <w:embedBold r:id="rIdF6" w:fontKey="{6DAFCDEE-2C64-4D3B-A67D-5B92E72AB5A8}" w:subsetted="false"/>
    <w:embedItalic r:id="rIdF7" w:fontKey="{C77B2085-19F9-4D5E-8955-A5337C2B44B8}" w:subsetted="false"/>
    <w:embedBoldItalic r:id="rIdF8" w:fontKey="{E2702EAC-0CF8-465A-8D88-B0EF093FCC31}" w:subsetted="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3" w:sz="4" w:space="8"/>
      </w:pBdr>
      <w:tabs>
        <w:tab w:val="right" w:pos="9360"/>
      </w:tabs>
    </w:pPr>
    <w:r>
      <w:rPr>
        <w:rFonts w:ascii="Courier Prime" w:cs="Courier Prime" w:eastAsia="Courier Prime" w:hAnsi="Courier Prime"/>
        <w:color w:val="5E6166"/>
        <w:sz w:val="18"/>
        <w:szCs w:val="18"/>
      </w:rPr>
      <w:t xml:space="preserve">mus 111 · music theory i · v2.0</w:t>
    </w:r>
    <w:r>
      <w:tab/>
    </w:r>
    <w:r>
      <w:rPr>
        <w:rFonts w:ascii="Courier Prime" w:cs="Courier Prime" w:eastAsia="Courier Prime" w:hAnsi="Courier Prime"/>
        <w:color w:val="5E6166"/>
        <w:sz w:val="18"/>
        <w:szCs w:val="18"/>
      </w:rPr>
      <w:t xml:space="preserve">page </w:t>
    </w:r>
    <w:r>
      <w:rPr>
        <w:rFonts w:ascii="Courier Prime" w:cs="Courier Prime" w:eastAsia="Courier Prime" w:hAnsi="Courier Prime"/>
        <w:color w:val="5E6166"/>
        <w:sz w:val="18"/>
        <w:szCs w:val="18"/>
      </w:rPr>
      <w:fldChar w:fldCharType="begin"/>
      <w:instrText xml:space="preserve">PAGE</w:instrText>
      <w:fldChar w:fldCharType="separate"/>
      <w:fldChar w:fldCharType="end"/>
    </w:r>
    <w:r>
      <w:rPr>
        <w:rFonts w:ascii="Courier Prime" w:cs="Courier Prime" w:eastAsia="Courier Prime" w:hAnsi="Courier Prime"/>
        <w:color w:val="5E6166"/>
        <w:sz w:val="18"/>
        <w:szCs w:val="18"/>
      </w:rPr>
      <w:t xml:space="preserve"> of </w:t>
    </w:r>
    <w:r>
      <w:rPr>
        <w:rFonts w:ascii="Courier Prime" w:cs="Courier Prime" w:eastAsia="Courier Prime" w:hAnsi="Courier Prime"/>
        <w:color w:val="5E61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B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