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single" w:color="D50032" w:sz="12"/>
          <w:right w:val="none" w:color="FFFFFF" w:sz="0"/>
          <w:insideH w:val="none" w:color="FFFFFF" w:sz="0"/>
          <w:insideV w:val="none" w:color="FFFFFF" w:sz="0"/>
        </w:tblBorders>
        <w:tblLayout w:type="fixed"/>
      </w:tblPr>
      <w:tblGrid>
        <w:gridCol w:w="1800"/>
        <w:gridCol w:w="7560"/>
      </w:tblGrid>
      <w:tr>
        <w:tc>
          <w:tcPr>
            <w:tcW w:type="dxa" w:w="18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Montserrat" w:cs="Montserrat" w:eastAsia="Montserrat" w:hAnsi="Montserrat"/>
                <w:color w:val="55575B"/>
                <w:sz w:val="17"/>
                <w:szCs w:val="17"/>
              </w:rPr>
              <w:t xml:space="preserve">Committee</w:t>
            </w:r>
          </w:p>
        </w:tc>
        <w:tc>
          <w:tcPr>
            <w:tcW w:type="dxa" w:w="756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Montserrat" w:cs="Montserrat" w:eastAsia="Montserrat" w:hAnsi="Montserrat"/>
                <w:b/>
                <w:bCs/>
                <w:color w:val="000000"/>
                <w:sz w:val="18"/>
                <w:szCs w:val="18"/>
              </w:rPr>
              <w:t xml:space="preserve">CLASS Curriculum Committee</w:t>
            </w:r>
          </w:p>
        </w:tc>
      </w:tr>
      <w:tr>
        <w:tc>
          <w:tcPr>
            <w:tcW w:type="dxa" w:w="18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Montserrat" w:cs="Montserrat" w:eastAsia="Montserrat" w:hAnsi="Montserrat"/>
                <w:color w:val="55575B"/>
                <w:sz w:val="17"/>
                <w:szCs w:val="17"/>
              </w:rPr>
              <w:t xml:space="preserve">Document</w:t>
            </w:r>
          </w:p>
        </w:tc>
        <w:tc>
          <w:tcPr>
            <w:tcW w:type="dxa" w:w="756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Montserrat" w:cs="Montserrat" w:eastAsia="Montserrat" w:hAnsi="Montserrat"/>
                <w:b/>
                <w:bCs/>
                <w:color w:val="000000"/>
                <w:sz w:val="18"/>
                <w:szCs w:val="18"/>
              </w:rPr>
              <w:t xml:space="preserve">Agenda</w:t>
            </w:r>
          </w:p>
        </w:tc>
      </w:tr>
      <w:tr>
        <w:tc>
          <w:tcPr>
            <w:tcW w:type="dxa" w:w="1800"/>
            <w:tcBorders>
              <w:top w:val="none" w:color="FFFFFF" w:sz="0"/>
              <w:left w:val="none" w:color="FFFFFF" w:sz="0"/>
              <w:bottom w:val="none" w:color="FFFFFF" w:sz="0"/>
              <w:right w:val="none" w:color="FFFFFF" w:sz="0"/>
            </w:tcBorders>
            <w:tcMar>
              <w:top w:type="dxa" w:w="40"/>
              <w:left w:type="dxa" w:w="0"/>
              <w:bottom w:type="dxa" w:w="40"/>
              <w:right w:type="dxa" w:w="120"/>
            </w:tcMar>
          </w:tcPr>
          <w:p>
            <w:r>
              <w:rPr>
                <w:rFonts w:ascii="Montserrat" w:cs="Montserrat" w:eastAsia="Montserrat" w:hAnsi="Montserrat"/>
                <w:color w:val="55575B"/>
                <w:sz w:val="17"/>
                <w:szCs w:val="17"/>
              </w:rPr>
              <w:t xml:space="preserve">Meeting</w:t>
            </w:r>
          </w:p>
        </w:tc>
        <w:tc>
          <w:tcPr>
            <w:tcW w:type="dxa" w:w="7560"/>
            <w:tcBorders>
              <w:top w:val="none" w:color="FFFFFF" w:sz="0"/>
              <w:left w:val="none" w:color="FFFFFF" w:sz="0"/>
              <w:bottom w:val="none" w:color="FFFFFF" w:sz="0"/>
              <w:right w:val="none" w:color="FFFFFF" w:sz="0"/>
            </w:tcBorders>
            <w:tcMar>
              <w:top w:type="dxa" w:w="40"/>
              <w:left w:type="dxa" w:w="0"/>
              <w:bottom w:type="dxa" w:w="40"/>
              <w:right w:type="dxa" w:w="0"/>
            </w:tcMar>
          </w:tcPr>
          <w:p>
            <w:r>
              <w:rPr>
                <w:rFonts w:ascii="Montserrat" w:cs="Montserrat" w:eastAsia="Montserrat" w:hAnsi="Montserrat"/>
                <w:b/>
                <w:bCs/>
                <w:color w:val="000000"/>
                <w:sz w:val="18"/>
                <w:szCs w:val="18"/>
              </w:rPr>
              <w:t xml:space="preserve">Tuesday, October 20, 2026, 10:00 a.m. to 12:00 p.m.</w:t>
            </w:r>
          </w:p>
        </w:tc>
      </w:tr>
      <w:tr>
        <w:tc>
          <w:tcPr>
            <w:tcW w:type="dxa" w:w="1800"/>
            <w:tcBorders>
              <w:top w:val="none" w:color="FFFFFF" w:sz="0"/>
              <w:left w:val="none" w:color="FFFFFF" w:sz="0"/>
              <w:bottom w:val="single" w:color="D50032" w:sz="12"/>
              <w:right w:val="none" w:color="FFFFFF" w:sz="0"/>
            </w:tcBorders>
            <w:tcMar>
              <w:top w:type="dxa" w:w="40"/>
              <w:left w:type="dxa" w:w="0"/>
              <w:bottom w:type="dxa" w:w="120"/>
              <w:right w:type="dxa" w:w="120"/>
            </w:tcMar>
          </w:tcPr>
          <w:p>
            <w:r>
              <w:rPr>
                <w:rFonts w:ascii="Montserrat" w:cs="Montserrat" w:eastAsia="Montserrat" w:hAnsi="Montserrat"/>
                <w:color w:val="55575B"/>
                <w:sz w:val="17"/>
                <w:szCs w:val="17"/>
              </w:rPr>
              <w:t xml:space="preserve">Catalog</w:t>
            </w:r>
          </w:p>
        </w:tc>
        <w:tc>
          <w:tcPr>
            <w:tcW w:type="dxa" w:w="7560"/>
            <w:tcBorders>
              <w:top w:val="none" w:color="FFFFFF" w:sz="0"/>
              <w:left w:val="none" w:color="FFFFFF" w:sz="0"/>
              <w:bottom w:val="single" w:color="D50032" w:sz="12"/>
              <w:right w:val="none" w:color="FFFFFF" w:sz="0"/>
            </w:tcBorders>
            <w:tcMar>
              <w:top w:type="dxa" w:w="40"/>
              <w:left w:type="dxa" w:w="0"/>
              <w:bottom w:type="dxa" w:w="120"/>
              <w:right w:type="dxa" w:w="0"/>
            </w:tcMar>
          </w:tcPr>
          <w:p>
            <w:r>
              <w:rPr>
                <w:rFonts w:ascii="Montserrat" w:cs="Montserrat" w:eastAsia="Montserrat" w:hAnsi="Montserrat"/>
                <w:b/>
                <w:bCs/>
                <w:color w:val="000000"/>
                <w:sz w:val="18"/>
                <w:szCs w:val="18"/>
              </w:rPr>
              <w:t xml:space="preserve">2027–2028</w:t>
            </w:r>
          </w:p>
        </w:tc>
      </w:tr>
    </w:tbl>
    <w:p>
      <w:pPr>
        <w:spacing w:after="80" w:before="280" w:line="336"/>
      </w:pPr>
      <w:r>
        <w:rPr>
          <w:rFonts w:ascii="Montserrat" w:cs="Montserrat" w:eastAsia="Montserrat" w:hAnsi="Montserrat"/>
          <w:b/>
          <w:bCs/>
          <w:color w:val="000000"/>
          <w:sz w:val="40"/>
          <w:szCs w:val="40"/>
        </w:rPr>
        <w:t xml:space="preserve">Agenda</w:t>
      </w:r>
    </w:p>
    <w:p>
      <w:pPr>
        <w:spacing w:after="40" w:before="0" w:line="336"/>
      </w:pPr>
      <w:r>
        <w:rPr>
          <w:rFonts w:ascii="Montserrat" w:cs="Montserrat" w:eastAsia="Montserrat" w:hAnsi="Montserrat"/>
          <w:color w:val="55575B"/>
          <w:sz w:val="18"/>
          <w:szCs w:val="18"/>
        </w:rPr>
        <w:t xml:space="preserve">Zoom  </w:t>
      </w:r>
      <w:hyperlink w:history="1" r:id="rIdx9lau1tpkrrllciwbqgsj">
        <w:r>
          <w:rPr>
            <w:rFonts w:ascii="Montserrat" w:cs="Montserrat" w:eastAsia="Montserrat" w:hAnsi="Montserrat"/>
            <w:color w:val="D50032"/>
            <w:sz w:val="20"/>
            <w:szCs w:val="20"/>
            <w:u w:val="single"/>
          </w:rPr>
          <w:t xml:space="preserve">https://csueb.zoom.us/j/5108853126</w:t>
        </w:r>
      </w:hyperlink>
    </w:p>
    <w:p>
      <w:pPr>
        <w:spacing w:after="120" w:before="0" w:line="336"/>
      </w:pPr>
      <w:r>
        <w:rPr>
          <w:rFonts w:ascii="Montserrat" w:cs="Montserrat" w:eastAsia="Montserrat" w:hAnsi="Montserrat"/>
          <w:color w:val="55575B"/>
          <w:sz w:val="18"/>
          <w:szCs w:val="18"/>
        </w:rPr>
        <w:t xml:space="preserve">Committee page  </w:t>
      </w:r>
      <w:hyperlink w:history="1" r:id="rIdbm1ygutclfqaytyczhfgu">
        <w:r>
          <w:rPr>
            <w:rFonts w:ascii="Montserrat" w:cs="Montserrat" w:eastAsia="Montserrat" w:hAnsi="Montserrat"/>
            <w:color w:val="D50032"/>
            <w:sz w:val="18"/>
            <w:szCs w:val="18"/>
            <w:u w:val="single"/>
          </w:rPr>
          <w:t xml:space="preserve">https://www.csueastbay.edu/class/curriculum/index.html</w:t>
        </w:r>
      </w:hyperlink>
    </w:p>
    <w:p>
      <w:pPr>
        <w:keepNext/>
        <w:spacing w:after="120" w:before="280" w:line="336"/>
      </w:pPr>
      <w:r>
        <w:rPr>
          <w:rFonts w:ascii="Montserrat" w:cs="Montserrat" w:eastAsia="Montserrat" w:hAnsi="Montserrat"/>
          <w:b/>
          <w:bCs/>
          <w:color w:val="D50032"/>
          <w:sz w:val="26"/>
          <w:szCs w:val="26"/>
        </w:rPr>
        <w:t xml:space="preserve">01</w:t>
      </w:r>
      <w:r>
        <w:rPr>
          <w:rFonts w:ascii="Montserrat" w:cs="Montserrat" w:eastAsia="Montserrat" w:hAnsi="Montserrat"/>
          <w:b/>
          <w:bCs/>
          <w:color w:val="000000"/>
          <w:sz w:val="26"/>
          <w:szCs w:val="26"/>
        </w:rPr>
        <w:t xml:space="preserve">   Associate dean’s report</w:t>
      </w:r>
    </w:p>
    <w:p>
      <w:pPr>
        <w:spacing w:after="140" w:before="0" w:line="336"/>
      </w:pPr>
      <w:r>
        <w:rPr>
          <w:rFonts w:ascii="Roboto Serif" w:cs="Roboto Serif" w:eastAsia="Roboto Serif" w:hAnsi="Roboto Serif"/>
          <w:color w:val="000000"/>
          <w:sz w:val="23"/>
          <w:szCs w:val="23"/>
        </w:rPr>
        <w:t xml:space="preserve">Nicholas Baham, Interim Associate Dean</w:t>
      </w:r>
    </w:p>
    <w:p>
      <w:pPr>
        <w:keepNext/>
        <w:spacing w:after="120" w:before="280" w:line="336"/>
      </w:pPr>
      <w:r>
        <w:rPr>
          <w:rFonts w:ascii="Montserrat" w:cs="Montserrat" w:eastAsia="Montserrat" w:hAnsi="Montserrat"/>
          <w:b/>
          <w:bCs/>
          <w:color w:val="D50032"/>
          <w:sz w:val="26"/>
          <w:szCs w:val="26"/>
        </w:rPr>
        <w:t xml:space="preserve">02</w:t>
      </w:r>
      <w:r>
        <w:rPr>
          <w:rFonts w:ascii="Montserrat" w:cs="Montserrat" w:eastAsia="Montserrat" w:hAnsi="Montserrat"/>
          <w:b/>
          <w:bCs/>
          <w:color w:val="000000"/>
          <w:sz w:val="26"/>
          <w:szCs w:val="26"/>
        </w:rPr>
        <w:t xml:space="preserve">   Chair’s report</w:t>
      </w:r>
    </w:p>
    <w:p>
      <w:pPr>
        <w:spacing w:after="140" w:before="0" w:line="336"/>
      </w:pPr>
      <w:r>
        <w:rPr>
          <w:rFonts w:ascii="Roboto Serif" w:cs="Roboto Serif" w:eastAsia="Roboto Serif" w:hAnsi="Roboto Serif"/>
          <w:color w:val="000000"/>
          <w:sz w:val="23"/>
          <w:szCs w:val="23"/>
        </w:rPr>
        <w:t xml:space="preserve">Inés Thiebaut, Chair</w:t>
      </w:r>
    </w:p>
    <w:p>
      <w:pPr>
        <w:keepNext/>
        <w:spacing w:after="120" w:before="280" w:line="336"/>
      </w:pPr>
      <w:r>
        <w:rPr>
          <w:rFonts w:ascii="Montserrat" w:cs="Montserrat" w:eastAsia="Montserrat" w:hAnsi="Montserrat"/>
          <w:b/>
          <w:bCs/>
          <w:color w:val="D50032"/>
          <w:sz w:val="26"/>
          <w:szCs w:val="26"/>
        </w:rPr>
        <w:t xml:space="preserve">03</w:t>
      </w:r>
      <w:r>
        <w:rPr>
          <w:rFonts w:ascii="Montserrat" w:cs="Montserrat" w:eastAsia="Montserrat" w:hAnsi="Montserrat"/>
          <w:b/>
          <w:bCs/>
          <w:color w:val="000000"/>
          <w:sz w:val="26"/>
          <w:szCs w:val="26"/>
        </w:rPr>
        <w:t xml:space="preserve">   Course proposals</w:t>
      </w:r>
    </w:p>
    <w:p>
      <w:pPr>
        <w:spacing w:after="200" w:before="0" w:line="336"/>
      </w:pPr>
      <w:r>
        <w:rPr>
          <w:rFonts w:ascii="Roboto Serif" w:cs="Roboto Serif" w:eastAsia="Roboto Serif" w:hAnsi="Roboto Serif"/>
          <w:color w:val="000000"/>
          <w:sz w:val="23"/>
          <w:szCs w:val="23"/>
        </w:rPr>
        <w:t xml:space="preserve">4 course proposals for the 2027–2028 catalog, all GEOC NEW. MUS 306, 307, and 308 return from October 6.</w:t>
      </w:r>
    </w:p>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60"/>
        <w:gridCol w:w="1400"/>
        <w:gridCol w:w="5600"/>
        <w:gridCol w:w="1800"/>
      </w:tblGrid>
      <w:tr>
        <w:trPr>
          <w:tblHeader/>
        </w:trPr>
        <w:tc>
          <w:tcPr>
            <w:tcW w:type="dxa" w:w="560"/>
            <w:tcBorders>
              <w:top w:val="none" w:color="FFFFFF" w:sz="0"/>
              <w:left w:val="none" w:color="FFFFFF" w:sz="0"/>
              <w:bottom w:val="single" w:color="D50032" w:sz="12"/>
              <w:right w:val="none" w:color="FFFFFF" w:sz="0"/>
            </w:tcBorders>
            <w:tcMar>
              <w:top w:type="dxa" w:w="45"/>
              <w:left w:type="dxa" w:w="0"/>
              <w:bottom w:type="dxa" w:w="45"/>
              <w:right w:type="dxa" w:w="100"/>
            </w:tcMar>
          </w:tcPr>
          <w:p>
            <w:pPr>
              <w:jc w:val="left"/>
            </w:pPr>
            <w:r>
              <w:rPr>
                <w:rFonts w:ascii="Montserrat" w:cs="Montserrat" w:eastAsia="Montserrat" w:hAnsi="Montserrat"/>
                <w:b/>
                <w:bCs/>
                <w:color w:val="000000"/>
                <w:sz w:val="17"/>
                <w:szCs w:val="17"/>
              </w:rPr>
              <w:t xml:space="preserve">No.</w:t>
            </w:r>
          </w:p>
        </w:tc>
        <w:tc>
          <w:tcPr>
            <w:tcW w:type="dxa" w:w="1400"/>
            <w:tcBorders>
              <w:top w:val="none" w:color="FFFFFF" w:sz="0"/>
              <w:left w:val="none" w:color="FFFFFF" w:sz="0"/>
              <w:bottom w:val="single" w:color="D50032" w:sz="12"/>
              <w:right w:val="none" w:color="FFFFFF" w:sz="0"/>
            </w:tcBorders>
            <w:tcMar>
              <w:top w:type="dxa" w:w="45"/>
              <w:left w:type="dxa" w:w="100"/>
              <w:bottom w:type="dxa" w:w="45"/>
              <w:right w:type="dxa" w:w="100"/>
            </w:tcMar>
          </w:tcPr>
          <w:p>
            <w:pPr>
              <w:jc w:val="left"/>
            </w:pPr>
            <w:r>
              <w:rPr>
                <w:rFonts w:ascii="Montserrat" w:cs="Montserrat" w:eastAsia="Montserrat" w:hAnsi="Montserrat"/>
                <w:b/>
                <w:bCs/>
                <w:color w:val="000000"/>
                <w:sz w:val="17"/>
                <w:szCs w:val="17"/>
              </w:rPr>
              <w:t xml:space="preserve">Course</w:t>
            </w:r>
          </w:p>
        </w:tc>
        <w:tc>
          <w:tcPr>
            <w:tcW w:type="dxa" w:w="5600"/>
            <w:tcBorders>
              <w:top w:val="none" w:color="FFFFFF" w:sz="0"/>
              <w:left w:val="none" w:color="FFFFFF" w:sz="0"/>
              <w:bottom w:val="single" w:color="D50032" w:sz="12"/>
              <w:right w:val="none" w:color="FFFFFF" w:sz="0"/>
            </w:tcBorders>
            <w:tcMar>
              <w:top w:type="dxa" w:w="45"/>
              <w:left w:type="dxa" w:w="100"/>
              <w:bottom w:type="dxa" w:w="45"/>
              <w:right w:type="dxa" w:w="100"/>
            </w:tcMar>
          </w:tcPr>
          <w:p>
            <w:pPr>
              <w:jc w:val="left"/>
            </w:pPr>
            <w:r>
              <w:rPr>
                <w:rFonts w:ascii="Montserrat" w:cs="Montserrat" w:eastAsia="Montserrat" w:hAnsi="Montserrat"/>
                <w:b/>
                <w:bCs/>
                <w:color w:val="000000"/>
                <w:sz w:val="17"/>
                <w:szCs w:val="17"/>
              </w:rPr>
              <w:t xml:space="preserve">Title</w:t>
            </w:r>
          </w:p>
        </w:tc>
        <w:tc>
          <w:tcPr>
            <w:tcW w:type="dxa" w:w="1800"/>
            <w:tcBorders>
              <w:top w:val="none" w:color="FFFFFF" w:sz="0"/>
              <w:left w:val="none" w:color="FFFFFF" w:sz="0"/>
              <w:bottom w:val="single" w:color="D50032" w:sz="12"/>
              <w:right w:val="none" w:color="FFFFFF" w:sz="0"/>
            </w:tcBorders>
            <w:tcMar>
              <w:top w:type="dxa" w:w="45"/>
              <w:left w:type="dxa" w:w="100"/>
              <w:bottom w:type="dxa" w:w="45"/>
              <w:right w:type="dxa" w:w="0"/>
            </w:tcMar>
          </w:tcPr>
          <w:p>
            <w:pPr>
              <w:jc w:val="right"/>
            </w:pPr>
            <w:r>
              <w:rPr>
                <w:rFonts w:ascii="Montserrat" w:cs="Montserrat" w:eastAsia="Montserrat" w:hAnsi="Montserrat"/>
                <w:b/>
                <w:bCs/>
                <w:color w:val="000000"/>
                <w:sz w:val="17"/>
                <w:szCs w:val="17"/>
              </w:rPr>
              <w:t xml:space="preserve">Type of proposal</w:t>
            </w:r>
          </w:p>
        </w:tc>
      </w:tr>
      <w:tr>
        <w:trPr>
          <w:cantSplit/>
        </w:trPr>
        <w:tc>
          <w:tcPr>
            <w:tcW w:type="dxa" w:w="560"/>
            <w:tcBorders>
              <w:top w:val="none" w:color="FFFFFF" w:sz="0"/>
              <w:left w:val="none" w:color="FFFFFF" w:sz="0"/>
              <w:bottom w:val="single" w:color="E4E4E6" w:sz="6"/>
              <w:right w:val="none" w:color="FFFFFF" w:sz="0"/>
            </w:tcBorders>
            <w:tcMar>
              <w:top w:type="dxa" w:w="45"/>
              <w:left w:type="dxa" w:w="0"/>
              <w:bottom w:type="dxa" w:w="45"/>
              <w:right w:type="dxa" w:w="100"/>
            </w:tcMar>
          </w:tcPr>
          <w:p>
            <w:pPr>
              <w:jc w:val="left"/>
            </w:pPr>
            <w:r>
              <w:rPr>
                <w:rFonts w:ascii="Roboto Serif" w:cs="Roboto Serif" w:eastAsia="Roboto Serif" w:hAnsi="Roboto Serif"/>
                <w:color w:val="000000"/>
                <w:sz w:val="20"/>
                <w:szCs w:val="20"/>
              </w:rPr>
              <w:t xml:space="preserve">1</w:t>
            </w:r>
          </w:p>
        </w:tc>
        <w:tc>
          <w:tcPr>
            <w:tcW w:type="dxa" w:w="1400"/>
            <w:tcBorders>
              <w:top w:val="none" w:color="FFFFFF" w:sz="0"/>
              <w:left w:val="none" w:color="FFFFFF" w:sz="0"/>
              <w:bottom w:val="single" w:color="E4E4E6" w:sz="6"/>
              <w:right w:val="none" w:color="FFFFFF" w:sz="0"/>
            </w:tcBorders>
            <w:tcMar>
              <w:top w:type="dxa" w:w="45"/>
              <w:left w:type="dxa" w:w="100"/>
              <w:bottom w:type="dxa" w:w="45"/>
              <w:right w:type="dxa" w:w="100"/>
            </w:tcMar>
          </w:tcPr>
          <w:p>
            <w:pPr>
              <w:jc w:val="left"/>
            </w:pPr>
            <w:r>
              <w:rPr>
                <w:rFonts w:ascii="Montserrat" w:cs="Montserrat" w:eastAsia="Montserrat" w:hAnsi="Montserrat"/>
                <w:b/>
                <w:bCs/>
                <w:color w:val="000000"/>
                <w:sz w:val="18"/>
                <w:szCs w:val="18"/>
              </w:rPr>
              <w:t xml:space="preserve">CLAS 120</w:t>
            </w:r>
          </w:p>
        </w:tc>
        <w:tc>
          <w:tcPr>
            <w:tcW w:type="dxa" w:w="5600"/>
            <w:tcBorders>
              <w:top w:val="none" w:color="FFFFFF" w:sz="0"/>
              <w:left w:val="none" w:color="FFFFFF" w:sz="0"/>
              <w:bottom w:val="single" w:color="E4E4E6" w:sz="6"/>
              <w:right w:val="none" w:color="FFFFFF" w:sz="0"/>
            </w:tcBorders>
            <w:tcMar>
              <w:top w:type="dxa" w:w="45"/>
              <w:left w:type="dxa" w:w="100"/>
              <w:bottom w:type="dxa" w:w="45"/>
              <w:right w:type="dxa" w:w="100"/>
            </w:tcMar>
          </w:tcPr>
          <w:p>
            <w:pPr>
              <w:jc w:val="left"/>
            </w:pPr>
            <w:r>
              <w:rPr>
                <w:rFonts w:ascii="Roboto Serif" w:cs="Roboto Serif" w:eastAsia="Roboto Serif" w:hAnsi="Roboto Serif"/>
                <w:color w:val="000000"/>
                <w:sz w:val="20"/>
                <w:szCs w:val="20"/>
              </w:rPr>
              <w:t xml:space="preserve">Hacking the University: Student Success at CSUEB</w:t>
            </w:r>
          </w:p>
        </w:tc>
        <w:tc>
          <w:tcPr>
            <w:tcW w:type="dxa" w:w="1800"/>
            <w:tcBorders>
              <w:top w:val="none" w:color="FFFFFF" w:sz="0"/>
              <w:left w:val="none" w:color="FFFFFF" w:sz="0"/>
              <w:bottom w:val="single" w:color="E4E4E6" w:sz="6"/>
              <w:right w:val="none" w:color="FFFFFF" w:sz="0"/>
            </w:tcBorders>
            <w:tcMar>
              <w:top w:type="dxa" w:w="45"/>
              <w:left w:type="dxa" w:w="100"/>
              <w:bottom w:type="dxa" w:w="45"/>
              <w:right w:type="dxa" w:w="0"/>
            </w:tcMar>
          </w:tcPr>
          <w:p>
            <w:pPr>
              <w:jc w:val="right"/>
            </w:pPr>
            <w:r>
              <w:rPr>
                <w:rFonts w:ascii="Montserrat" w:cs="Montserrat" w:eastAsia="Montserrat" w:hAnsi="Montserrat"/>
                <w:color w:val="55575B"/>
                <w:sz w:val="17"/>
                <w:szCs w:val="17"/>
              </w:rPr>
              <w:t xml:space="preserve">GEOC NEW</w:t>
            </w:r>
          </w:p>
        </w:tc>
      </w:tr>
      <w:tr>
        <w:trPr>
          <w:cantSplit/>
        </w:trPr>
        <w:tc>
          <w:tcPr>
            <w:tcW w:type="dxa" w:w="560"/>
            <w:tcBorders>
              <w:top w:val="none" w:color="FFFFFF" w:sz="0"/>
              <w:left w:val="none" w:color="FFFFFF" w:sz="0"/>
              <w:bottom w:val="single" w:color="E4E4E6" w:sz="6"/>
              <w:right w:val="none" w:color="FFFFFF" w:sz="0"/>
            </w:tcBorders>
            <w:tcMar>
              <w:top w:type="dxa" w:w="45"/>
              <w:left w:type="dxa" w:w="0"/>
              <w:bottom w:type="dxa" w:w="45"/>
              <w:right w:type="dxa" w:w="100"/>
            </w:tcMar>
          </w:tcPr>
          <w:p>
            <w:pPr>
              <w:jc w:val="left"/>
            </w:pPr>
            <w:r>
              <w:rPr>
                <w:rFonts w:ascii="Roboto Serif" w:cs="Roboto Serif" w:eastAsia="Roboto Serif" w:hAnsi="Roboto Serif"/>
                <w:color w:val="000000"/>
                <w:sz w:val="20"/>
                <w:szCs w:val="20"/>
              </w:rPr>
              <w:t xml:space="preserve">2</w:t>
            </w:r>
          </w:p>
        </w:tc>
        <w:tc>
          <w:tcPr>
            <w:tcW w:type="dxa" w:w="1400"/>
            <w:tcBorders>
              <w:top w:val="none" w:color="FFFFFF" w:sz="0"/>
              <w:left w:val="none" w:color="FFFFFF" w:sz="0"/>
              <w:bottom w:val="single" w:color="E4E4E6" w:sz="6"/>
              <w:right w:val="none" w:color="FFFFFF" w:sz="0"/>
            </w:tcBorders>
            <w:tcMar>
              <w:top w:type="dxa" w:w="45"/>
              <w:left w:type="dxa" w:w="100"/>
              <w:bottom w:type="dxa" w:w="45"/>
              <w:right w:type="dxa" w:w="100"/>
            </w:tcMar>
          </w:tcPr>
          <w:p>
            <w:pPr>
              <w:jc w:val="left"/>
            </w:pPr>
            <w:r>
              <w:rPr>
                <w:rFonts w:ascii="Montserrat" w:cs="Montserrat" w:eastAsia="Montserrat" w:hAnsi="Montserrat"/>
                <w:b/>
                <w:bCs/>
                <w:color w:val="000000"/>
                <w:sz w:val="18"/>
                <w:szCs w:val="18"/>
              </w:rPr>
              <w:t xml:space="preserve">MUS 306</w:t>
            </w:r>
          </w:p>
        </w:tc>
        <w:tc>
          <w:tcPr>
            <w:tcW w:type="dxa" w:w="5600"/>
            <w:tcBorders>
              <w:top w:val="none" w:color="FFFFFF" w:sz="0"/>
              <w:left w:val="none" w:color="FFFFFF" w:sz="0"/>
              <w:bottom w:val="single" w:color="E4E4E6" w:sz="6"/>
              <w:right w:val="none" w:color="FFFFFF" w:sz="0"/>
            </w:tcBorders>
            <w:tcMar>
              <w:top w:type="dxa" w:w="45"/>
              <w:left w:type="dxa" w:w="100"/>
              <w:bottom w:type="dxa" w:w="45"/>
              <w:right w:type="dxa" w:w="100"/>
            </w:tcMar>
          </w:tcPr>
          <w:p>
            <w:pPr>
              <w:jc w:val="left"/>
            </w:pPr>
            <w:r>
              <w:rPr>
                <w:rFonts w:ascii="Roboto Serif" w:cs="Roboto Serif" w:eastAsia="Roboto Serif" w:hAnsi="Roboto Serif"/>
                <w:color w:val="000000"/>
                <w:sz w:val="20"/>
                <w:szCs w:val="20"/>
              </w:rPr>
              <w:t xml:space="preserve">Music and the Sacred: Ceremony, Devotion, and Sound Across Cultures</w:t>
            </w:r>
          </w:p>
        </w:tc>
        <w:tc>
          <w:tcPr>
            <w:tcW w:type="dxa" w:w="1800"/>
            <w:tcBorders>
              <w:top w:val="none" w:color="FFFFFF" w:sz="0"/>
              <w:left w:val="none" w:color="FFFFFF" w:sz="0"/>
              <w:bottom w:val="single" w:color="E4E4E6" w:sz="6"/>
              <w:right w:val="none" w:color="FFFFFF" w:sz="0"/>
            </w:tcBorders>
            <w:tcMar>
              <w:top w:type="dxa" w:w="45"/>
              <w:left w:type="dxa" w:w="100"/>
              <w:bottom w:type="dxa" w:w="45"/>
              <w:right w:type="dxa" w:w="0"/>
            </w:tcMar>
          </w:tcPr>
          <w:p>
            <w:pPr>
              <w:jc w:val="right"/>
            </w:pPr>
            <w:r>
              <w:rPr>
                <w:rFonts w:ascii="Montserrat" w:cs="Montserrat" w:eastAsia="Montserrat" w:hAnsi="Montserrat"/>
                <w:color w:val="55575B"/>
                <w:sz w:val="17"/>
                <w:szCs w:val="17"/>
              </w:rPr>
              <w:t xml:space="preserve">GEOC NEW</w:t>
            </w:r>
          </w:p>
        </w:tc>
      </w:tr>
      <w:tr>
        <w:trPr>
          <w:cantSplit/>
        </w:trPr>
        <w:tc>
          <w:tcPr>
            <w:tcW w:type="dxa" w:w="560"/>
            <w:tcBorders>
              <w:top w:val="none" w:color="FFFFFF" w:sz="0"/>
              <w:left w:val="none" w:color="FFFFFF" w:sz="0"/>
              <w:bottom w:val="single" w:color="E4E4E6" w:sz="6"/>
              <w:right w:val="none" w:color="FFFFFF" w:sz="0"/>
            </w:tcBorders>
            <w:tcMar>
              <w:top w:type="dxa" w:w="45"/>
              <w:left w:type="dxa" w:w="0"/>
              <w:bottom w:type="dxa" w:w="45"/>
              <w:right w:type="dxa" w:w="100"/>
            </w:tcMar>
          </w:tcPr>
          <w:p>
            <w:pPr>
              <w:jc w:val="left"/>
            </w:pPr>
            <w:r>
              <w:rPr>
                <w:rFonts w:ascii="Roboto Serif" w:cs="Roboto Serif" w:eastAsia="Roboto Serif" w:hAnsi="Roboto Serif"/>
                <w:color w:val="000000"/>
                <w:sz w:val="20"/>
                <w:szCs w:val="20"/>
              </w:rPr>
              <w:t xml:space="preserve">3</w:t>
            </w:r>
          </w:p>
        </w:tc>
        <w:tc>
          <w:tcPr>
            <w:tcW w:type="dxa" w:w="1400"/>
            <w:tcBorders>
              <w:top w:val="none" w:color="FFFFFF" w:sz="0"/>
              <w:left w:val="none" w:color="FFFFFF" w:sz="0"/>
              <w:bottom w:val="single" w:color="E4E4E6" w:sz="6"/>
              <w:right w:val="none" w:color="FFFFFF" w:sz="0"/>
            </w:tcBorders>
            <w:tcMar>
              <w:top w:type="dxa" w:w="45"/>
              <w:left w:type="dxa" w:w="100"/>
              <w:bottom w:type="dxa" w:w="45"/>
              <w:right w:type="dxa" w:w="100"/>
            </w:tcMar>
          </w:tcPr>
          <w:p>
            <w:pPr>
              <w:jc w:val="left"/>
            </w:pPr>
            <w:r>
              <w:rPr>
                <w:rFonts w:ascii="Montserrat" w:cs="Montserrat" w:eastAsia="Montserrat" w:hAnsi="Montserrat"/>
                <w:b/>
                <w:bCs/>
                <w:color w:val="000000"/>
                <w:sz w:val="18"/>
                <w:szCs w:val="18"/>
              </w:rPr>
              <w:t xml:space="preserve">MUS 307</w:t>
            </w:r>
          </w:p>
        </w:tc>
        <w:tc>
          <w:tcPr>
            <w:tcW w:type="dxa" w:w="5600"/>
            <w:tcBorders>
              <w:top w:val="none" w:color="FFFFFF" w:sz="0"/>
              <w:left w:val="none" w:color="FFFFFF" w:sz="0"/>
              <w:bottom w:val="single" w:color="E4E4E6" w:sz="6"/>
              <w:right w:val="none" w:color="FFFFFF" w:sz="0"/>
            </w:tcBorders>
            <w:tcMar>
              <w:top w:type="dxa" w:w="45"/>
              <w:left w:type="dxa" w:w="100"/>
              <w:bottom w:type="dxa" w:w="45"/>
              <w:right w:type="dxa" w:w="100"/>
            </w:tcMar>
          </w:tcPr>
          <w:p>
            <w:pPr>
              <w:jc w:val="left"/>
            </w:pPr>
            <w:r>
              <w:rPr>
                <w:rFonts w:ascii="Roboto Serif" w:cs="Roboto Serif" w:eastAsia="Roboto Serif" w:hAnsi="Roboto Serif"/>
                <w:color w:val="000000"/>
                <w:sz w:val="20"/>
                <w:szCs w:val="20"/>
              </w:rPr>
              <w:t xml:space="preserve">Forbidden Sounds: Music, Censorship, and Resistance</w:t>
            </w:r>
          </w:p>
        </w:tc>
        <w:tc>
          <w:tcPr>
            <w:tcW w:type="dxa" w:w="1800"/>
            <w:tcBorders>
              <w:top w:val="none" w:color="FFFFFF" w:sz="0"/>
              <w:left w:val="none" w:color="FFFFFF" w:sz="0"/>
              <w:bottom w:val="single" w:color="E4E4E6" w:sz="6"/>
              <w:right w:val="none" w:color="FFFFFF" w:sz="0"/>
            </w:tcBorders>
            <w:tcMar>
              <w:top w:type="dxa" w:w="45"/>
              <w:left w:type="dxa" w:w="100"/>
              <w:bottom w:type="dxa" w:w="45"/>
              <w:right w:type="dxa" w:w="0"/>
            </w:tcMar>
          </w:tcPr>
          <w:p>
            <w:pPr>
              <w:jc w:val="right"/>
            </w:pPr>
            <w:r>
              <w:rPr>
                <w:rFonts w:ascii="Montserrat" w:cs="Montserrat" w:eastAsia="Montserrat" w:hAnsi="Montserrat"/>
                <w:color w:val="55575B"/>
                <w:sz w:val="17"/>
                <w:szCs w:val="17"/>
              </w:rPr>
              <w:t xml:space="preserve">GEOC NEW</w:t>
            </w:r>
          </w:p>
        </w:tc>
      </w:tr>
      <w:tr>
        <w:trPr>
          <w:cantSplit/>
        </w:trPr>
        <w:tc>
          <w:tcPr>
            <w:tcW w:type="dxa" w:w="560"/>
            <w:tcBorders>
              <w:top w:val="none" w:color="FFFFFF" w:sz="0"/>
              <w:left w:val="none" w:color="FFFFFF" w:sz="0"/>
              <w:bottom w:val="single" w:color="E4E4E6" w:sz="6"/>
              <w:right w:val="none" w:color="FFFFFF" w:sz="0"/>
            </w:tcBorders>
            <w:tcMar>
              <w:top w:type="dxa" w:w="45"/>
              <w:left w:type="dxa" w:w="0"/>
              <w:bottom w:type="dxa" w:w="45"/>
              <w:right w:type="dxa" w:w="100"/>
            </w:tcMar>
          </w:tcPr>
          <w:p>
            <w:pPr>
              <w:jc w:val="left"/>
            </w:pPr>
            <w:r>
              <w:rPr>
                <w:rFonts w:ascii="Roboto Serif" w:cs="Roboto Serif" w:eastAsia="Roboto Serif" w:hAnsi="Roboto Serif"/>
                <w:color w:val="000000"/>
                <w:sz w:val="20"/>
                <w:szCs w:val="20"/>
              </w:rPr>
              <w:t xml:space="preserve">4</w:t>
            </w:r>
          </w:p>
        </w:tc>
        <w:tc>
          <w:tcPr>
            <w:tcW w:type="dxa" w:w="1400"/>
            <w:tcBorders>
              <w:top w:val="none" w:color="FFFFFF" w:sz="0"/>
              <w:left w:val="none" w:color="FFFFFF" w:sz="0"/>
              <w:bottom w:val="single" w:color="E4E4E6" w:sz="6"/>
              <w:right w:val="none" w:color="FFFFFF" w:sz="0"/>
            </w:tcBorders>
            <w:tcMar>
              <w:top w:type="dxa" w:w="45"/>
              <w:left w:type="dxa" w:w="100"/>
              <w:bottom w:type="dxa" w:w="45"/>
              <w:right w:type="dxa" w:w="100"/>
            </w:tcMar>
          </w:tcPr>
          <w:p>
            <w:pPr>
              <w:jc w:val="left"/>
            </w:pPr>
            <w:r>
              <w:rPr>
                <w:rFonts w:ascii="Montserrat" w:cs="Montserrat" w:eastAsia="Montserrat" w:hAnsi="Montserrat"/>
                <w:b/>
                <w:bCs/>
                <w:color w:val="000000"/>
                <w:sz w:val="18"/>
                <w:szCs w:val="18"/>
              </w:rPr>
              <w:t xml:space="preserve">MUS 308</w:t>
            </w:r>
          </w:p>
        </w:tc>
        <w:tc>
          <w:tcPr>
            <w:tcW w:type="dxa" w:w="5600"/>
            <w:tcBorders>
              <w:top w:val="none" w:color="FFFFFF" w:sz="0"/>
              <w:left w:val="none" w:color="FFFFFF" w:sz="0"/>
              <w:bottom w:val="single" w:color="E4E4E6" w:sz="6"/>
              <w:right w:val="none" w:color="FFFFFF" w:sz="0"/>
            </w:tcBorders>
            <w:tcMar>
              <w:top w:type="dxa" w:w="45"/>
              <w:left w:type="dxa" w:w="100"/>
              <w:bottom w:type="dxa" w:w="45"/>
              <w:right w:type="dxa" w:w="100"/>
            </w:tcMar>
          </w:tcPr>
          <w:p>
            <w:pPr>
              <w:jc w:val="left"/>
            </w:pPr>
            <w:r>
              <w:rPr>
                <w:rFonts w:ascii="Roboto Serif" w:cs="Roboto Serif" w:eastAsia="Roboto Serif" w:hAnsi="Roboto Serif"/>
                <w:color w:val="000000"/>
                <w:sz w:val="20"/>
                <w:szCs w:val="20"/>
              </w:rPr>
              <w:t xml:space="preserve">Trance, Ritual, and the Music of Altered States</w:t>
            </w:r>
          </w:p>
        </w:tc>
        <w:tc>
          <w:tcPr>
            <w:tcW w:type="dxa" w:w="1800"/>
            <w:tcBorders>
              <w:top w:val="none" w:color="FFFFFF" w:sz="0"/>
              <w:left w:val="none" w:color="FFFFFF" w:sz="0"/>
              <w:bottom w:val="single" w:color="E4E4E6" w:sz="6"/>
              <w:right w:val="none" w:color="FFFFFF" w:sz="0"/>
            </w:tcBorders>
            <w:tcMar>
              <w:top w:type="dxa" w:w="45"/>
              <w:left w:type="dxa" w:w="100"/>
              <w:bottom w:type="dxa" w:w="45"/>
              <w:right w:type="dxa" w:w="0"/>
            </w:tcMar>
          </w:tcPr>
          <w:p>
            <w:pPr>
              <w:jc w:val="right"/>
            </w:pPr>
            <w:r>
              <w:rPr>
                <w:rFonts w:ascii="Montserrat" w:cs="Montserrat" w:eastAsia="Montserrat" w:hAnsi="Montserrat"/>
                <w:color w:val="55575B"/>
                <w:sz w:val="17"/>
                <w:szCs w:val="17"/>
              </w:rPr>
              <w:t xml:space="preserve">GEOC NEW</w:t>
            </w:r>
          </w:p>
        </w:tc>
      </w:tr>
    </w:tbl>
    <w:p>
      <w:pPr>
        <w:keepNext/>
        <w:spacing w:after="120" w:before="280" w:line="336"/>
      </w:pPr>
      <w:r>
        <w:rPr>
          <w:rFonts w:ascii="Montserrat" w:cs="Montserrat" w:eastAsia="Montserrat" w:hAnsi="Montserrat"/>
          <w:b/>
          <w:bCs/>
          <w:color w:val="D50032"/>
          <w:sz w:val="26"/>
          <w:szCs w:val="26"/>
        </w:rPr>
        <w:t xml:space="preserve">04</w:t>
      </w:r>
      <w:r>
        <w:rPr>
          <w:rFonts w:ascii="Montserrat" w:cs="Montserrat" w:eastAsia="Montserrat" w:hAnsi="Montserrat"/>
          <w:b/>
          <w:bCs/>
          <w:color w:val="000000"/>
          <w:sz w:val="26"/>
          <w:szCs w:val="26"/>
        </w:rPr>
        <w:t xml:space="preserve">   Program proposals</w:t>
      </w:r>
    </w:p>
    <w:p>
      <w:pPr>
        <w:spacing w:after="140" w:before="0" w:line="336"/>
      </w:pPr>
      <w:r>
        <w:rPr>
          <w:rFonts w:ascii="Roboto Serif" w:cs="Roboto Serif" w:eastAsia="Roboto Serif" w:hAnsi="Roboto Serif"/>
          <w:color w:val="000000"/>
          <w:sz w:val="23"/>
          <w:szCs w:val="23"/>
        </w:rPr>
        <w:t xml:space="preserve">5. Philosophy B.A., revision (2026–2027 academic year).</w:t>
      </w:r>
    </w:p>
    <w:p>
      <w:pPr>
        <w:spacing w:after="140" w:before="0" w:line="336"/>
      </w:pPr>
      <w:r>
        <w:rPr>
          <w:rFonts w:ascii="Roboto Serif" w:cs="Roboto Serif" w:eastAsia="Roboto Serif" w:hAnsi="Roboto Serif"/>
          <w:color w:val="000000"/>
          <w:sz w:val="23"/>
          <w:szCs w:val="23"/>
        </w:rPr>
        <w:t xml:space="preserve">6. Policing Studies BPS, projected degree proposal for the Academic Master Plan (AMP) and resource implications (2026–2027 academic year).</w:t>
      </w:r>
    </w:p>
    <w:p>
      <w:pPr>
        <w:keepNext/>
        <w:spacing w:after="120" w:before="280" w:line="336"/>
      </w:pPr>
      <w:r>
        <w:rPr>
          <w:rFonts w:ascii="Montserrat" w:cs="Montserrat" w:eastAsia="Montserrat" w:hAnsi="Montserrat"/>
          <w:b/>
          <w:bCs/>
          <w:color w:val="D50032"/>
          <w:sz w:val="26"/>
          <w:szCs w:val="26"/>
        </w:rPr>
        <w:t xml:space="preserve">05</w:t>
      </w:r>
      <w:r>
        <w:rPr>
          <w:rFonts w:ascii="Montserrat" w:cs="Montserrat" w:eastAsia="Montserrat" w:hAnsi="Montserrat"/>
          <w:b/>
          <w:bCs/>
          <w:color w:val="000000"/>
          <w:sz w:val="26"/>
          <w:szCs w:val="26"/>
        </w:rPr>
        <w:t xml:space="preserve">   Discussion</w:t>
      </w:r>
    </w:p>
    <w:p>
      <w:pPr>
        <w:keepNext/>
        <w:spacing w:after="60" w:before="120" w:line="336"/>
      </w:pPr>
      <w:r>
        <w:rPr>
          <w:rFonts w:ascii="Roboto Serif" w:cs="Roboto Serif" w:eastAsia="Roboto Serif" w:hAnsi="Roboto Serif"/>
          <w:color w:val="000000"/>
          <w:sz w:val="23"/>
          <w:szCs w:val="23"/>
        </w:rPr>
        <w:t xml:space="preserve">7. GEOC alignment form: the committee’s letter.</w:t>
      </w:r>
    </w:p>
    <w:p>
      <w:pPr>
        <w:spacing w:after="140" w:before="0" w:line="336"/>
        <w:ind w:left="360"/>
      </w:pPr>
      <w:r>
        <w:rPr>
          <w:rFonts w:ascii="Roboto Serif" w:cs="Roboto Serif" w:eastAsia="Roboto Serif" w:hAnsi="Roboto Serif"/>
          <w:color w:val="000000"/>
          <w:sz w:val="23"/>
          <w:szCs w:val="23"/>
        </w:rPr>
        <w:t xml:space="preserve">The CLASS Council of Chairs recommended that the committee state its position on the 2026/2027 GEOC alignment form in a letter. For decision: the letter’s addressee (GEOC, CIC, or the Academic Senate), whether it endorses the proposed one-page alignment form sent to the GE Director on September 2, and its timing.</w:t>
      </w:r>
    </w:p>
    <w:p>
      <w:pPr>
        <w:keepNext/>
        <w:spacing w:after="60" w:before="120" w:line="336"/>
      </w:pPr>
      <w:r>
        <w:rPr>
          <w:rFonts w:ascii="Roboto Serif" w:cs="Roboto Serif" w:eastAsia="Roboto Serif" w:hAnsi="Roboto Serif"/>
          <w:color w:val="000000"/>
          <w:sz w:val="23"/>
          <w:szCs w:val="23"/>
        </w:rPr>
        <w:t xml:space="preserve">8. Proposal submission timeline.</w:t>
      </w:r>
    </w:p>
    <w:p>
      <w:pPr>
        <w:spacing w:after="140" w:before="0" w:line="336"/>
        <w:ind w:left="360"/>
      </w:pPr>
      <w:r>
        <w:rPr>
          <w:rFonts w:ascii="Roboto Serif" w:cs="Roboto Serif" w:eastAsia="Roboto Serif" w:hAnsi="Roboto Serif"/>
          <w:color w:val="000000"/>
          <w:sz w:val="23"/>
          <w:szCs w:val="23"/>
        </w:rPr>
        <w:t xml:space="preserve">Curriculog forms open in mid-August, about 20 duty days before the September 15 launch deadline. Requests raised with the committee: forms available in January for the following September, a shorter campus-wide consultation period, a shorter approval chain, and a launch deadline of September 25 or October 1. The committee has asked Catalog to open forms earlier, and Catalog split the former shared deadline into separate launch and approval deadlines. For discussion: who sets the launch deadline and form availability, and whether the committee takes the matter up this year, and with whom.</w:t>
      </w:r>
    </w:p>
    <w:p>
      <w:pPr>
        <w:keepNext/>
        <w:spacing w:after="60" w:before="120" w:line="336"/>
      </w:pPr>
      <w:r>
        <w:rPr>
          <w:rFonts w:ascii="Roboto Serif" w:cs="Roboto Serif" w:eastAsia="Roboto Serif" w:hAnsi="Roboto Serif"/>
          <w:color w:val="000000"/>
          <w:sz w:val="23"/>
          <w:szCs w:val="23"/>
        </w:rPr>
        <w:t xml:space="preserve">9. CLASS Curriculum Committee Policies and Procedures, revision.</w:t>
      </w:r>
    </w:p>
    <w:p>
      <w:pPr>
        <w:spacing w:after="140" w:before="0" w:line="336"/>
        <w:ind w:left="360"/>
      </w:pPr>
      <w:r>
        <w:rPr>
          <w:rFonts w:ascii="Roboto Serif" w:cs="Roboto Serif" w:eastAsia="Roboto Serif" w:hAnsi="Roboto Serif"/>
          <w:color w:val="000000"/>
          <w:sz w:val="23"/>
          <w:szCs w:val="23"/>
        </w:rPr>
        <w:t xml:space="preserve">The proposed revision adds a review standard (section 07). The committee sets how closely it reviews syllabi at its first meeting of each academic year, with structural issues as the default focus: learning outcomes, content, assignments, and grading, and their consistency with the proposal. Banking and discontinuation proposals are approved automatically. The committee approves a proposal, approves it with small revisions, or rolls it back for major revisions. Other changes: the associate dean forwards proposals for a vote or for discussion, and the dean’s office replaces the curriculum coordinator. The revision goes to the CLASS Council for approval.</w:t>
      </w:r>
    </w:p>
    <w:sectPr>
      <w:footerReference w:type="default" r:id="rId7"/>
      <w:pgSz w:w="12240" w:h="15840" w:orient="portrait"/>
      <w:pgMar w:top="1296" w:right="1440" w:bottom="1296" w:left="1440" w:header="708" w:footer="57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4E6" w:sz="6" w:space="6"/>
      </w:pBdr>
      <w:tabs>
        <w:tab w:val="right" w:pos="9360"/>
      </w:tabs>
    </w:pPr>
    <w:r>
      <w:rPr>
        <w:rFonts w:ascii="Montserrat" w:cs="Montserrat" w:eastAsia="Montserrat" w:hAnsi="Montserrat"/>
        <w:color w:val="55575B"/>
        <w:sz w:val="15"/>
        <w:szCs w:val="15"/>
      </w:rPr>
      <w:t xml:space="preserve">CCC agenda, 2026-10-20</w:t>
    </w:r>
    <w:r>
      <w:rPr>
        <w:rFonts w:ascii="Montserrat" w:cs="Montserrat" w:eastAsia="Montserrat" w:hAnsi="Montserrat"/>
        <w:color w:val="55575B"/>
        <w:sz w:val="15"/>
        <w:szCs w:val="15"/>
      </w:rPr>
      <w:t xml:space="preserve">	Page </w:t>
    </w:r>
    <w:r>
      <w:rPr>
        <w:rFonts w:ascii="Montserrat" w:cs="Montserrat" w:eastAsia="Montserrat" w:hAnsi="Montserrat"/>
        <w:color w:val="55575B"/>
        <w:sz w:val="15"/>
        <w:szCs w:val="15"/>
      </w:rPr>
      <w:fldChar w:fldCharType="begin"/>
      <w:instrText xml:space="preserve">PAGE</w:instrText>
      <w:fldChar w:fldCharType="separate"/>
      <w:fldChar w:fldCharType="end"/>
    </w:r>
    <w:r>
      <w:rPr>
        <w:rFonts w:ascii="Montserrat" w:cs="Montserrat" w:eastAsia="Montserrat" w:hAnsi="Montserrat"/>
        <w:color w:val="55575B"/>
        <w:sz w:val="15"/>
        <w:szCs w:val="15"/>
      </w:rPr>
      <w:t xml:space="preserve"> of </w:t>
    </w:r>
    <w:r>
      <w:rPr>
        <w:rFonts w:ascii="Montserrat" w:cs="Montserrat" w:eastAsia="Montserrat" w:hAnsi="Montserrat"/>
        <w:color w:val="55575B"/>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Serif" w:cs="Roboto Serif" w:eastAsia="Roboto Serif" w:hAnsi="Roboto Serif"/>
        <w:color w:val="000000"/>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9lau1tpkrrllciwbqgsj" Type="http://schemas.openxmlformats.org/officeDocument/2006/relationships/hyperlink" Target="https://csueb.zoom.us/j/5108853126" TargetMode="External"/><Relationship Id="rIdbm1ygutclfqaytyczhfgu" Type="http://schemas.openxmlformats.org/officeDocument/2006/relationships/hyperlink" Target="https://www.csueastbay.edu/class/curriculum/index.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Curriculum Committee agenda, October 20, 2026</dc:title>
  <dc:creator>Inés Thiebaut</dc:creator>
  <cp:lastModifiedBy>Un-named</cp:lastModifiedBy>
  <cp:revision>1</cp:revision>
  <dcterms:created xsi:type="dcterms:W3CDTF">2026-10-16T01:50:00Z</dcterms:created>
  <dcterms:modified xsi:type="dcterms:W3CDTF">2026-10-16T01:50:00Z</dcterms:modified>
</cp:coreProperties>
</file>

<file path=docProps/custom.xml><?xml version="1.0" encoding="utf-8"?>
<Properties xmlns="http://schemas.openxmlformats.org/officeDocument/2006/custom-properties" xmlns:vt="http://schemas.openxmlformats.org/officeDocument/2006/docPropsVTypes"/>
</file>