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for this course, as approved in Curriculog under Current Breadth Area(s) Approved:</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rPr>
          <w:i/>
          <w:iCs/>
        </w:rPr>
        <w:t xml:space="preserve">Areas were relabeled for Fall 2025. The </w:t>
      </w:r>
      <w:hyperlink r:id="rId20" w:history="1">
        <w:r>
          <w:rPr>
            <w:rStyle w:val="Hyperlink"/>
            <w:i/>
            <w:iCs/>
          </w:rPr>
          <w:t>GE Guide</w:t>
        </w:r>
      </w:hyperlink>
      <w:r>
        <w:rPr>
          <w:i/>
          <w:iCs/>
        </w:rPr>
        <w:t xml:space="preserve"> lists the current labels alongside the former ones.</w:t>
      </w:r>
    </w:p>
    <w:p>
      <w:r>
        <w:t xml:space="preserve">Delivery methods on the attached syllabus ____________________________________</w:t>
      </w:r>
    </w:p>
    <w:p>
      <w:r>
        <w:t xml:space="preserve">Originator ____________________________________________</w:t>
      </w:r>
    </w:p>
    <w:p>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and the GEOC learning outcomes for every area named above</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outcomes the course is certified for.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Any other characteristic required for this area</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3330" w:type="dxa"/>
            <w:tcBorders>
              <w:top w:val="single" w:sz="4" w:space="0" w:color="000000"/>
              <w:left w:val="single" w:sz="4" w:space="0" w:color="000000"/>
              <w:bottom w:val="single" w:sz="4" w:space="0" w:color="000000"/>
              <w:right w:val="single" w:sz="4" w:space="0" w:color="000000"/>
            </w:tcBorders>
          </w:tcPr>
          <w:p>
            <w:r>
              <w:t xml:space="preserve">Differences between delivery methods, if the syllabus covers more than one</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0" Type="http://schemas.openxmlformats.org/officeDocument/2006/relationships/hyperlink" Target="https://www.csueastbay.edu/ge/breadth-semeste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